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19A9" w14:textId="77777777" w:rsidR="00316D59" w:rsidRDefault="00000000">
      <w:pPr>
        <w:pStyle w:val="Heading1"/>
      </w:pPr>
      <w:bookmarkStart w:id="0" w:name="mental-health-wellbeing-strategy"/>
      <w:r>
        <w:t>Mental Health &amp; Wellbeing Strategy</w:t>
      </w:r>
    </w:p>
    <w:p w14:paraId="427A2C94" w14:textId="19C24B4C" w:rsidR="00316D59" w:rsidRDefault="00000000">
      <w:pPr>
        <w:pStyle w:val="FirstParagraph"/>
      </w:pPr>
      <w:r>
        <w:rPr>
          <w:b/>
          <w:bCs/>
        </w:rPr>
        <w:t>Reviewed:</w:t>
      </w:r>
      <w:r>
        <w:t xml:space="preserve"> </w:t>
      </w:r>
      <w:r w:rsidR="007A5AA1">
        <w:t>April 2026</w:t>
      </w:r>
      <w:r>
        <w:br/>
      </w:r>
      <w:r>
        <w:rPr>
          <w:b/>
          <w:bCs/>
        </w:rPr>
        <w:t>Next Review Date:</w:t>
      </w:r>
      <w:r>
        <w:t xml:space="preserve"> </w:t>
      </w:r>
      <w:r w:rsidR="007A5AA1">
        <w:t>April 2027</w:t>
      </w:r>
    </w:p>
    <w:p w14:paraId="640D0ED8" w14:textId="77777777" w:rsidR="00316D59" w:rsidRDefault="00000000">
      <w:r>
        <w:pict w14:anchorId="4B7B0452">
          <v:rect id="_x0000_i1025" style="width:0;height:1.5pt" o:hralign="center" o:hrstd="t" o:hr="t"/>
        </w:pict>
      </w:r>
    </w:p>
    <w:p w14:paraId="63FF4F94" w14:textId="77777777" w:rsidR="00316D59" w:rsidRDefault="00000000">
      <w:pPr>
        <w:pStyle w:val="Heading2"/>
      </w:pPr>
      <w:bookmarkStart w:id="1" w:name="vision"/>
      <w:r>
        <w:t>1. Vision</w:t>
      </w:r>
    </w:p>
    <w:p w14:paraId="549CDC2C" w14:textId="77777777" w:rsidR="00316D59" w:rsidRDefault="00000000">
      <w:pPr>
        <w:pStyle w:val="FirstParagraph"/>
      </w:pPr>
      <w:r>
        <w:t>To promote an inclusive and supportive environment where staff and learners feel safe, supported, and empowered to achieve their potential. Our approach is underpinned by robust mental health and wellbeing support systems that are proactive, evidence-based, and responsive.</w:t>
      </w:r>
    </w:p>
    <w:p w14:paraId="20B7640B" w14:textId="77777777" w:rsidR="00316D59" w:rsidRDefault="00000000">
      <w:r>
        <w:pict w14:anchorId="49619C33">
          <v:rect id="_x0000_i1026" style="width:0;height:1.5pt" o:hralign="center" o:hrstd="t" o:hr="t"/>
        </w:pict>
      </w:r>
    </w:p>
    <w:p w14:paraId="3685CE97" w14:textId="77777777" w:rsidR="00316D59" w:rsidRDefault="00000000">
      <w:pPr>
        <w:pStyle w:val="Heading2"/>
      </w:pPr>
      <w:bookmarkStart w:id="2" w:name="legislation-and-guidance"/>
      <w:bookmarkEnd w:id="1"/>
      <w:r>
        <w:t>2. Legislation and Guidance</w:t>
      </w:r>
    </w:p>
    <w:p w14:paraId="46535377" w14:textId="6E4A4A6A" w:rsidR="00316D59" w:rsidRDefault="00000000">
      <w:pPr>
        <w:pStyle w:val="FirstParagraph"/>
      </w:pPr>
      <w:r>
        <w:t xml:space="preserve">This strategy aligns with: - </w:t>
      </w:r>
      <w:r>
        <w:rPr>
          <w:b/>
          <w:bCs/>
        </w:rPr>
        <w:t>Education Inspection Framework (EIF) 202</w:t>
      </w:r>
      <w:r w:rsidR="00D91413">
        <w:rPr>
          <w:b/>
          <w:bCs/>
        </w:rPr>
        <w:t>5</w:t>
      </w:r>
      <w:r>
        <w:t xml:space="preserve"> – Personal development, behaviour and attitudes, and leadership &amp; management. - </w:t>
      </w:r>
      <w:r>
        <w:rPr>
          <w:b/>
          <w:bCs/>
        </w:rPr>
        <w:t>Keeping Children Safe in Education (KCSiE) 2024</w:t>
      </w:r>
      <w:r>
        <w:t xml:space="preserve"> – recognition of mental health issues as a safeguarding concern. - </w:t>
      </w:r>
      <w:r>
        <w:rPr>
          <w:b/>
          <w:bCs/>
        </w:rPr>
        <w:t>Working Together to Safeguard Children 2023</w:t>
      </w:r>
      <w:r>
        <w:t xml:space="preserve"> – multi-agency safeguarding responsibilities. - </w:t>
      </w:r>
      <w:r>
        <w:rPr>
          <w:b/>
          <w:bCs/>
        </w:rPr>
        <w:t>Equality Act 2010</w:t>
      </w:r>
      <w:r>
        <w:t xml:space="preserve"> &amp; </w:t>
      </w:r>
      <w:r>
        <w:rPr>
          <w:b/>
          <w:bCs/>
        </w:rPr>
        <w:t>Public Sector Equality Duty</w:t>
      </w:r>
      <w:r>
        <w:t xml:space="preserve"> – duty to make reasonable adjustments and foster equality. - </w:t>
      </w:r>
      <w:r>
        <w:rPr>
          <w:b/>
          <w:bCs/>
        </w:rPr>
        <w:t>Health &amp; Safety at Work Act 1974</w:t>
      </w:r>
      <w:r>
        <w:t xml:space="preserve"> – responsibility to safeguard staff wellbeing. - </w:t>
      </w:r>
      <w:r>
        <w:rPr>
          <w:b/>
          <w:bCs/>
        </w:rPr>
        <w:t>DfE Mental Health &amp; Wellbeing Guidance for Schools &amp; Colleges (2023).</w:t>
      </w:r>
      <w:r>
        <w:t xml:space="preserve"> - </w:t>
      </w:r>
      <w:r>
        <w:rPr>
          <w:b/>
          <w:bCs/>
        </w:rPr>
        <w:t>UK GDPR / Data Protection Act 2018</w:t>
      </w:r>
      <w:r>
        <w:t xml:space="preserve"> – handling personal and sensitive information.</w:t>
      </w:r>
    </w:p>
    <w:p w14:paraId="05B5E98E" w14:textId="77777777" w:rsidR="00316D59" w:rsidRDefault="00000000">
      <w:r>
        <w:pict w14:anchorId="40B22546">
          <v:rect id="_x0000_i1027" style="width:0;height:1.5pt" o:hralign="center" o:hrstd="t" o:hr="t"/>
        </w:pict>
      </w:r>
    </w:p>
    <w:p w14:paraId="2ECDA096" w14:textId="77777777" w:rsidR="00316D59" w:rsidRDefault="00000000">
      <w:pPr>
        <w:pStyle w:val="Heading2"/>
      </w:pPr>
      <w:bookmarkStart w:id="3" w:name="leadership-governance"/>
      <w:bookmarkEnd w:id="2"/>
      <w:r>
        <w:t>3. Leadership &amp; Governance</w:t>
      </w:r>
    </w:p>
    <w:p w14:paraId="21967695" w14:textId="258F5B93" w:rsidR="00316D59" w:rsidRDefault="00000000">
      <w:pPr>
        <w:pStyle w:val="Compact"/>
        <w:numPr>
          <w:ilvl w:val="0"/>
          <w:numId w:val="2"/>
        </w:numPr>
      </w:pPr>
      <w:r>
        <w:rPr>
          <w:b/>
          <w:bCs/>
        </w:rPr>
        <w:t>Senior Mental Health Lead:</w:t>
      </w:r>
      <w:r>
        <w:t>. Responsible for strategic oversight and reporting.</w:t>
      </w:r>
    </w:p>
    <w:p w14:paraId="244FEEAC" w14:textId="77777777" w:rsidR="00316D59" w:rsidRDefault="00000000">
      <w:pPr>
        <w:pStyle w:val="Compact"/>
        <w:numPr>
          <w:ilvl w:val="0"/>
          <w:numId w:val="2"/>
        </w:numPr>
      </w:pPr>
      <w:r>
        <w:rPr>
          <w:b/>
          <w:bCs/>
        </w:rPr>
        <w:t>Governance Reporting:</w:t>
      </w:r>
      <w:r>
        <w:t xml:space="preserve"> Wellbeing actions and outcomes are reported to the Directors termly.</w:t>
      </w:r>
    </w:p>
    <w:p w14:paraId="29840D55" w14:textId="77777777" w:rsidR="00316D59" w:rsidRDefault="00000000">
      <w:pPr>
        <w:pStyle w:val="Compact"/>
        <w:numPr>
          <w:ilvl w:val="0"/>
          <w:numId w:val="2"/>
        </w:numPr>
      </w:pPr>
      <w:r>
        <w:t>Leadership ensures mental health is considered when developing policies and curriculum.</w:t>
      </w:r>
    </w:p>
    <w:p w14:paraId="4A004F58" w14:textId="77777777" w:rsidR="00316D59" w:rsidRDefault="00000000">
      <w:pPr>
        <w:pStyle w:val="Compact"/>
        <w:numPr>
          <w:ilvl w:val="0"/>
          <w:numId w:val="2"/>
        </w:numPr>
      </w:pPr>
      <w:r>
        <w:t>Commitment to continuous improvement, including lessons learned from feedback and incidents.</w:t>
      </w:r>
    </w:p>
    <w:p w14:paraId="08F0B82A" w14:textId="77777777" w:rsidR="00316D59" w:rsidRDefault="00000000">
      <w:r>
        <w:pict w14:anchorId="0D4CB29E">
          <v:rect id="_x0000_i1028" style="width:0;height:1.5pt" o:hralign="center" o:hrstd="t" o:hr="t"/>
        </w:pict>
      </w:r>
    </w:p>
    <w:p w14:paraId="15D5EAE4" w14:textId="77777777" w:rsidR="00316D59" w:rsidRDefault="00000000">
      <w:pPr>
        <w:pStyle w:val="Heading2"/>
      </w:pPr>
      <w:bookmarkStart w:id="4" w:name="prevention"/>
      <w:bookmarkEnd w:id="3"/>
      <w:r>
        <w:lastRenderedPageBreak/>
        <w:t>4. Prevention</w:t>
      </w:r>
    </w:p>
    <w:p w14:paraId="4AA0F92E" w14:textId="77777777" w:rsidR="00316D59" w:rsidRDefault="00000000">
      <w:pPr>
        <w:pStyle w:val="Compact"/>
        <w:numPr>
          <w:ilvl w:val="0"/>
          <w:numId w:val="3"/>
        </w:numPr>
      </w:pPr>
      <w:r>
        <w:t>Create an environment that reduces stigma, promotes positive mental health, and minimises risk factors.</w:t>
      </w:r>
    </w:p>
    <w:p w14:paraId="1C843713" w14:textId="77777777" w:rsidR="00316D59" w:rsidRDefault="00000000">
      <w:pPr>
        <w:pStyle w:val="Compact"/>
        <w:numPr>
          <w:ilvl w:val="0"/>
          <w:numId w:val="3"/>
        </w:numPr>
      </w:pPr>
      <w:r>
        <w:t>Integrate wellbeing into curriculum design and delivery, including safeguarding and resilience education.</w:t>
      </w:r>
    </w:p>
    <w:p w14:paraId="174193D2" w14:textId="77777777" w:rsidR="00316D59" w:rsidRDefault="00000000">
      <w:pPr>
        <w:pStyle w:val="Compact"/>
        <w:numPr>
          <w:ilvl w:val="0"/>
          <w:numId w:val="3"/>
        </w:numPr>
      </w:pPr>
      <w:r>
        <w:t>Provide regular communication and signposting to support services.</w:t>
      </w:r>
    </w:p>
    <w:p w14:paraId="49D09071" w14:textId="77777777" w:rsidR="00316D59" w:rsidRDefault="00000000">
      <w:pPr>
        <w:pStyle w:val="Compact"/>
        <w:numPr>
          <w:ilvl w:val="0"/>
          <w:numId w:val="3"/>
        </w:numPr>
      </w:pPr>
      <w:r>
        <w:t>Conduct staff wellbeing risk assessments in line with HSE guidance.</w:t>
      </w:r>
    </w:p>
    <w:p w14:paraId="61421EE2" w14:textId="77777777" w:rsidR="00316D59" w:rsidRDefault="00000000">
      <w:r>
        <w:pict w14:anchorId="526D161D">
          <v:rect id="_x0000_i1029" style="width:0;height:1.5pt" o:hralign="center" o:hrstd="t" o:hr="t"/>
        </w:pict>
      </w:r>
    </w:p>
    <w:p w14:paraId="40A7AA27" w14:textId="77777777" w:rsidR="00316D59" w:rsidRDefault="00000000">
      <w:pPr>
        <w:pStyle w:val="Heading2"/>
      </w:pPr>
      <w:bookmarkStart w:id="5" w:name="early-intervention"/>
      <w:bookmarkEnd w:id="4"/>
      <w:r>
        <w:t>5. Early Intervention</w:t>
      </w:r>
    </w:p>
    <w:p w14:paraId="7B378324" w14:textId="77777777" w:rsidR="00316D59" w:rsidRDefault="00000000">
      <w:pPr>
        <w:pStyle w:val="Compact"/>
        <w:numPr>
          <w:ilvl w:val="0"/>
          <w:numId w:val="4"/>
        </w:numPr>
      </w:pPr>
      <w:r>
        <w:t>Clear reporting pathways for learners and staff to raise concerns.</w:t>
      </w:r>
    </w:p>
    <w:p w14:paraId="1BAEE847" w14:textId="77777777" w:rsidR="00316D59" w:rsidRDefault="00000000">
      <w:pPr>
        <w:pStyle w:val="Compact"/>
        <w:numPr>
          <w:ilvl w:val="0"/>
          <w:numId w:val="4"/>
        </w:numPr>
      </w:pPr>
      <w:r>
        <w:t>Early triage process to assess risk and escalate promptly.</w:t>
      </w:r>
    </w:p>
    <w:p w14:paraId="2011AA5C" w14:textId="77777777" w:rsidR="00316D59" w:rsidRDefault="00000000">
      <w:pPr>
        <w:pStyle w:val="Compact"/>
        <w:numPr>
          <w:ilvl w:val="0"/>
          <w:numId w:val="4"/>
        </w:numPr>
      </w:pPr>
      <w:r>
        <w:t>Regular staff training on recognising early signs of distress.</w:t>
      </w:r>
    </w:p>
    <w:p w14:paraId="60C15899" w14:textId="77777777" w:rsidR="00316D59" w:rsidRDefault="00000000">
      <w:pPr>
        <w:pStyle w:val="Compact"/>
        <w:numPr>
          <w:ilvl w:val="0"/>
          <w:numId w:val="4"/>
        </w:numPr>
      </w:pPr>
      <w:r>
        <w:t>Signposting to external support services including NHS 111, Samaritans, Mind, and local CAMHS.</w:t>
      </w:r>
    </w:p>
    <w:p w14:paraId="7470C2DD" w14:textId="77777777" w:rsidR="00316D59" w:rsidRDefault="00000000">
      <w:r>
        <w:pict w14:anchorId="3DF631A6">
          <v:rect id="_x0000_i1030" style="width:0;height:1.5pt" o:hralign="center" o:hrstd="t" o:hr="t"/>
        </w:pict>
      </w:r>
    </w:p>
    <w:p w14:paraId="24F09DF6" w14:textId="77777777" w:rsidR="00316D59" w:rsidRDefault="00000000">
      <w:pPr>
        <w:pStyle w:val="Heading2"/>
      </w:pPr>
      <w:bookmarkStart w:id="6" w:name="support"/>
      <w:bookmarkEnd w:id="5"/>
      <w:r>
        <w:t>6. Support</w:t>
      </w:r>
    </w:p>
    <w:p w14:paraId="3DE89BA4" w14:textId="77777777" w:rsidR="00316D59" w:rsidRDefault="00000000">
      <w:pPr>
        <w:pStyle w:val="Compact"/>
        <w:numPr>
          <w:ilvl w:val="0"/>
          <w:numId w:val="5"/>
        </w:numPr>
      </w:pPr>
      <w:r>
        <w:t>Provide a range of support services tailored to diverse needs.</w:t>
      </w:r>
    </w:p>
    <w:p w14:paraId="1FA7C20A" w14:textId="77777777" w:rsidR="00316D59" w:rsidRDefault="00000000">
      <w:pPr>
        <w:pStyle w:val="Compact"/>
        <w:numPr>
          <w:ilvl w:val="0"/>
          <w:numId w:val="5"/>
        </w:numPr>
      </w:pPr>
      <w:r>
        <w:t>Ensure support is inclusive, accessible, and responsive to feedback.</w:t>
      </w:r>
    </w:p>
    <w:p w14:paraId="01CBBCD9" w14:textId="77777777" w:rsidR="00316D59" w:rsidRDefault="00000000">
      <w:pPr>
        <w:pStyle w:val="Compact"/>
        <w:numPr>
          <w:ilvl w:val="0"/>
          <w:numId w:val="5"/>
        </w:numPr>
      </w:pPr>
      <w:r>
        <w:t>Reasonable adjustments made for assessments, workload, or training schedules where required.</w:t>
      </w:r>
    </w:p>
    <w:p w14:paraId="001881B1" w14:textId="77777777" w:rsidR="00316D59" w:rsidRDefault="00000000">
      <w:pPr>
        <w:pStyle w:val="Compact"/>
        <w:numPr>
          <w:ilvl w:val="0"/>
          <w:numId w:val="5"/>
        </w:numPr>
      </w:pPr>
      <w:r>
        <w:t>Employers engaged to support apprentice wellbeing in the workplace.</w:t>
      </w:r>
    </w:p>
    <w:p w14:paraId="473400E6" w14:textId="77777777" w:rsidR="00316D59" w:rsidRDefault="00000000">
      <w:pPr>
        <w:pStyle w:val="Compact"/>
        <w:numPr>
          <w:ilvl w:val="0"/>
          <w:numId w:val="5"/>
        </w:numPr>
      </w:pPr>
      <w:r>
        <w:t>Clear risk management protocols including urgent support and escalation procedures.</w:t>
      </w:r>
    </w:p>
    <w:p w14:paraId="31135EBA" w14:textId="77777777" w:rsidR="00316D59" w:rsidRDefault="00000000">
      <w:r>
        <w:pict w14:anchorId="28DB825A">
          <v:rect id="_x0000_i1031" style="width:0;height:1.5pt" o:hralign="center" o:hrstd="t" o:hr="t"/>
        </w:pict>
      </w:r>
    </w:p>
    <w:p w14:paraId="4F25D30C" w14:textId="77777777" w:rsidR="00316D59" w:rsidRDefault="00000000">
      <w:pPr>
        <w:pStyle w:val="Heading2"/>
      </w:pPr>
      <w:bookmarkStart w:id="7" w:name="transitions"/>
      <w:bookmarkEnd w:id="6"/>
      <w:r>
        <w:t>7. Transitions</w:t>
      </w:r>
    </w:p>
    <w:p w14:paraId="791E4627" w14:textId="77777777" w:rsidR="00316D59" w:rsidRDefault="00000000">
      <w:pPr>
        <w:pStyle w:val="Compact"/>
        <w:numPr>
          <w:ilvl w:val="0"/>
          <w:numId w:val="6"/>
        </w:numPr>
      </w:pPr>
      <w:r>
        <w:t>Support learners and staff during key transition points (programme start, post-break return, exams, career progression).</w:t>
      </w:r>
    </w:p>
    <w:p w14:paraId="19763B5C" w14:textId="77777777" w:rsidR="00316D59" w:rsidRDefault="00000000">
      <w:pPr>
        <w:pStyle w:val="Compact"/>
        <w:numPr>
          <w:ilvl w:val="0"/>
          <w:numId w:val="6"/>
        </w:numPr>
      </w:pPr>
      <w:r>
        <w:t>Provide induction and ongoing mentoring.</w:t>
      </w:r>
    </w:p>
    <w:p w14:paraId="67CFEF31" w14:textId="77777777" w:rsidR="00316D59" w:rsidRDefault="00000000">
      <w:pPr>
        <w:pStyle w:val="Compact"/>
        <w:numPr>
          <w:ilvl w:val="0"/>
          <w:numId w:val="6"/>
        </w:numPr>
      </w:pPr>
      <w:r>
        <w:t>Implement return-to-learning plans following absence due to mental health.</w:t>
      </w:r>
    </w:p>
    <w:p w14:paraId="2F18228A" w14:textId="77777777" w:rsidR="00316D59" w:rsidRDefault="00000000">
      <w:r>
        <w:pict w14:anchorId="08247065">
          <v:rect id="_x0000_i1032" style="width:0;height:1.5pt" o:hralign="center" o:hrstd="t" o:hr="t"/>
        </w:pict>
      </w:r>
    </w:p>
    <w:p w14:paraId="09AFA19F" w14:textId="77777777" w:rsidR="00615EDC" w:rsidRDefault="00615EDC">
      <w:pPr>
        <w:pStyle w:val="Heading2"/>
      </w:pPr>
      <w:bookmarkStart w:id="8" w:name="staff-wellbeing"/>
      <w:bookmarkEnd w:id="7"/>
    </w:p>
    <w:p w14:paraId="4BF1C5A6" w14:textId="55DC90E6" w:rsidR="00316D59" w:rsidRDefault="00000000">
      <w:pPr>
        <w:pStyle w:val="Heading2"/>
      </w:pPr>
      <w:r>
        <w:t>8. Staff Wellbeing</w:t>
      </w:r>
    </w:p>
    <w:p w14:paraId="15385004" w14:textId="77777777" w:rsidR="00316D59" w:rsidRDefault="00000000">
      <w:pPr>
        <w:pStyle w:val="Compact"/>
        <w:numPr>
          <w:ilvl w:val="0"/>
          <w:numId w:val="7"/>
        </w:numPr>
      </w:pPr>
      <w:r>
        <w:t>Recognise and address staff mental health needs.</w:t>
      </w:r>
    </w:p>
    <w:p w14:paraId="2C6273B5" w14:textId="77777777" w:rsidR="00316D59" w:rsidRDefault="00000000">
      <w:pPr>
        <w:pStyle w:val="Compact"/>
        <w:numPr>
          <w:ilvl w:val="0"/>
          <w:numId w:val="7"/>
        </w:numPr>
      </w:pPr>
      <w:r>
        <w:t>Provide access to CPD, supervision, and external support where needed.</w:t>
      </w:r>
    </w:p>
    <w:p w14:paraId="57FDC0D1" w14:textId="77777777" w:rsidR="00316D59" w:rsidRDefault="00000000">
      <w:pPr>
        <w:pStyle w:val="Compact"/>
        <w:numPr>
          <w:ilvl w:val="0"/>
          <w:numId w:val="7"/>
        </w:numPr>
      </w:pPr>
      <w:r>
        <w:t>Encourage peer support and open discussion of wellbeing concerns.</w:t>
      </w:r>
    </w:p>
    <w:p w14:paraId="3CDAF881" w14:textId="77777777" w:rsidR="00316D59" w:rsidRDefault="00000000">
      <w:r>
        <w:pict w14:anchorId="78F880EB">
          <v:rect id="_x0000_i1033" style="width:0;height:1.5pt" o:hralign="center" o:hrstd="t" o:hr="t"/>
        </w:pict>
      </w:r>
    </w:p>
    <w:p w14:paraId="377C39E4" w14:textId="77777777" w:rsidR="00316D59" w:rsidRDefault="00000000">
      <w:pPr>
        <w:pStyle w:val="Heading2"/>
      </w:pPr>
      <w:bookmarkStart w:id="9" w:name="evaluation-continuous-improvement"/>
      <w:bookmarkEnd w:id="8"/>
      <w:r>
        <w:t>9. Evaluation &amp; Continuous Improvement</w:t>
      </w:r>
    </w:p>
    <w:p w14:paraId="33C5AF2E" w14:textId="77777777" w:rsidR="00316D59" w:rsidRDefault="00000000">
      <w:pPr>
        <w:pStyle w:val="Compact"/>
        <w:numPr>
          <w:ilvl w:val="0"/>
          <w:numId w:val="8"/>
        </w:numPr>
      </w:pPr>
      <w:r>
        <w:t>Collect data from learner voice surveys, staff feedback, and wellbeing audits.</w:t>
      </w:r>
    </w:p>
    <w:p w14:paraId="41DE38E6" w14:textId="77777777" w:rsidR="00316D59" w:rsidRDefault="00000000">
      <w:pPr>
        <w:pStyle w:val="Compact"/>
        <w:numPr>
          <w:ilvl w:val="0"/>
          <w:numId w:val="8"/>
        </w:numPr>
      </w:pPr>
      <w:r>
        <w:t>Review incidents and support cases to identify trends and areas for improvement.</w:t>
      </w:r>
    </w:p>
    <w:p w14:paraId="0539AA72" w14:textId="77777777" w:rsidR="00316D59" w:rsidRDefault="00000000">
      <w:pPr>
        <w:pStyle w:val="Compact"/>
        <w:numPr>
          <w:ilvl w:val="0"/>
          <w:numId w:val="8"/>
        </w:numPr>
      </w:pPr>
      <w:r>
        <w:t>Produce an annual wellbeing report for leadership review.</w:t>
      </w:r>
    </w:p>
    <w:p w14:paraId="104C978E" w14:textId="77777777" w:rsidR="00316D59" w:rsidRDefault="00000000">
      <w:pPr>
        <w:pStyle w:val="Compact"/>
        <w:numPr>
          <w:ilvl w:val="0"/>
          <w:numId w:val="8"/>
        </w:numPr>
      </w:pPr>
      <w:r>
        <w:t>Use findings to implement proactive interventions and measure impact.</w:t>
      </w:r>
    </w:p>
    <w:p w14:paraId="655EE8A4" w14:textId="77777777" w:rsidR="00316D59" w:rsidRDefault="00000000">
      <w:r>
        <w:pict w14:anchorId="7076BA58">
          <v:rect id="_x0000_i1034" style="width:0;height:1.5pt" o:hralign="center" o:hrstd="t" o:hr="t"/>
        </w:pict>
      </w:r>
    </w:p>
    <w:p w14:paraId="050FD56A" w14:textId="5D719F2D" w:rsidR="00316D59" w:rsidRDefault="00000000">
      <w:pPr>
        <w:pStyle w:val="FirstParagraph"/>
      </w:pPr>
      <w:r>
        <w:rPr>
          <w:b/>
          <w:bCs/>
        </w:rPr>
        <w:t>Responsible Person:</w:t>
      </w:r>
      <w:r>
        <w:br/>
      </w:r>
      <w:r w:rsidR="00615EDC">
        <w:t>Josh Bancroft</w:t>
      </w:r>
      <w:r>
        <w:br/>
        <w:t>Tel: 01564 703900</w:t>
      </w:r>
      <w:r>
        <w:br/>
        <w:t xml:space="preserve">Email: </w:t>
      </w:r>
      <w:r w:rsidR="00615EDC">
        <w:t>josh@floorskills.co.uk</w:t>
      </w:r>
      <w:bookmarkEnd w:id="0"/>
      <w:bookmarkEnd w:id="9"/>
    </w:p>
    <w:sectPr w:rsidR="00316D59">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5C87" w14:textId="77777777" w:rsidR="00CF6F9F" w:rsidRDefault="00CF6F9F" w:rsidP="00615EDC">
      <w:pPr>
        <w:spacing w:after="0"/>
      </w:pPr>
      <w:r>
        <w:separator/>
      </w:r>
    </w:p>
  </w:endnote>
  <w:endnote w:type="continuationSeparator" w:id="0">
    <w:p w14:paraId="6D2485F2" w14:textId="77777777" w:rsidR="00CF6F9F" w:rsidRDefault="00CF6F9F" w:rsidP="00615E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85CC" w14:textId="77777777" w:rsidR="00CF6F9F" w:rsidRDefault="00CF6F9F" w:rsidP="00615EDC">
      <w:pPr>
        <w:spacing w:after="0"/>
      </w:pPr>
      <w:r>
        <w:separator/>
      </w:r>
    </w:p>
  </w:footnote>
  <w:footnote w:type="continuationSeparator" w:id="0">
    <w:p w14:paraId="26E0CA2A" w14:textId="77777777" w:rsidR="00CF6F9F" w:rsidRDefault="00CF6F9F" w:rsidP="00615E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143B" w14:textId="38F75830" w:rsidR="00615EDC" w:rsidRDefault="00615EDC">
    <w:pPr>
      <w:pStyle w:val="Header"/>
    </w:pPr>
    <w:r>
      <w:rPr>
        <w:noProof/>
      </w:rPr>
      <w:drawing>
        <wp:inline distT="0" distB="0" distL="0" distR="0" wp14:anchorId="03FF0694" wp14:editId="3D5A8CE9">
          <wp:extent cx="2115691" cy="868722"/>
          <wp:effectExtent l="0" t="0" r="0" b="0"/>
          <wp:docPr id="16217366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36697" name="Picture 1" descr="A green logo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E6E90C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F882A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26394046">
    <w:abstractNumId w:val="0"/>
  </w:num>
  <w:num w:numId="2" w16cid:durableId="1863975695">
    <w:abstractNumId w:val="1"/>
  </w:num>
  <w:num w:numId="3" w16cid:durableId="1458137919">
    <w:abstractNumId w:val="1"/>
  </w:num>
  <w:num w:numId="4" w16cid:durableId="1448740031">
    <w:abstractNumId w:val="1"/>
  </w:num>
  <w:num w:numId="5" w16cid:durableId="1838960079">
    <w:abstractNumId w:val="1"/>
  </w:num>
  <w:num w:numId="6" w16cid:durableId="1652169644">
    <w:abstractNumId w:val="1"/>
  </w:num>
  <w:num w:numId="7" w16cid:durableId="345981030">
    <w:abstractNumId w:val="1"/>
  </w:num>
  <w:num w:numId="8" w16cid:durableId="49919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59"/>
    <w:rsid w:val="00316D59"/>
    <w:rsid w:val="00373F92"/>
    <w:rsid w:val="00615EDC"/>
    <w:rsid w:val="007A5AA1"/>
    <w:rsid w:val="00AC604C"/>
    <w:rsid w:val="00C64672"/>
    <w:rsid w:val="00CF6F9F"/>
    <w:rsid w:val="00D91413"/>
    <w:rsid w:val="00ED20B3"/>
    <w:rsid w:val="00FF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1DD41"/>
  <w15:docId w15:val="{7E1E8482-E310-464C-8ED7-4274422A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615EDC"/>
    <w:pPr>
      <w:tabs>
        <w:tab w:val="center" w:pos="4513"/>
        <w:tab w:val="right" w:pos="9026"/>
      </w:tabs>
      <w:spacing w:after="0"/>
    </w:pPr>
  </w:style>
  <w:style w:type="character" w:customStyle="1" w:styleId="HeaderChar">
    <w:name w:val="Header Char"/>
    <w:basedOn w:val="DefaultParagraphFont"/>
    <w:link w:val="Header"/>
    <w:rsid w:val="00615EDC"/>
  </w:style>
  <w:style w:type="paragraph" w:styleId="Footer">
    <w:name w:val="footer"/>
    <w:basedOn w:val="Normal"/>
    <w:link w:val="FooterChar"/>
    <w:rsid w:val="00615EDC"/>
    <w:pPr>
      <w:tabs>
        <w:tab w:val="center" w:pos="4513"/>
        <w:tab w:val="right" w:pos="9026"/>
      </w:tabs>
      <w:spacing w:after="0"/>
    </w:pPr>
  </w:style>
  <w:style w:type="character" w:customStyle="1" w:styleId="FooterChar">
    <w:name w:val="Footer Char"/>
    <w:basedOn w:val="DefaultParagraphFont"/>
    <w:link w:val="Footer"/>
    <w:rsid w:val="0061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461</Words>
  <Characters>2957</Characters>
  <Application>Microsoft Office Word</Application>
  <DocSecurity>0</DocSecurity>
  <Lines>76</Lines>
  <Paragraphs>41</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Floorskills</dc:creator>
  <cp:keywords/>
  <cp:lastModifiedBy>Matt Bourne</cp:lastModifiedBy>
  <cp:revision>4</cp:revision>
  <dcterms:created xsi:type="dcterms:W3CDTF">2025-09-15T13:37:00Z</dcterms:created>
  <dcterms:modified xsi:type="dcterms:W3CDTF">2026-04-28T14:31:00Z</dcterms:modified>
</cp:coreProperties>
</file>