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C8F7" w14:textId="77777777" w:rsidR="000843BF" w:rsidRPr="000843BF" w:rsidRDefault="000843BF" w:rsidP="000843BF">
      <w:pPr>
        <w:rPr>
          <w:rFonts w:asciiTheme="majorHAnsi" w:eastAsiaTheme="majorEastAsia" w:hAnsiTheme="majorHAnsi" w:cstheme="majorBidi"/>
          <w:b/>
          <w:bCs/>
          <w:color w:val="0F4761" w:themeColor="accent1" w:themeShade="BF"/>
          <w:sz w:val="36"/>
          <w:szCs w:val="36"/>
          <w:lang w:val="en-GB"/>
        </w:rPr>
      </w:pPr>
      <w:r w:rsidRPr="000843BF">
        <w:rPr>
          <w:rFonts w:asciiTheme="majorHAnsi" w:eastAsiaTheme="majorEastAsia" w:hAnsiTheme="majorHAnsi" w:cstheme="majorBidi"/>
          <w:b/>
          <w:bCs/>
          <w:color w:val="0F4761" w:themeColor="accent1" w:themeShade="BF"/>
          <w:sz w:val="36"/>
          <w:szCs w:val="36"/>
          <w:lang w:val="en-GB"/>
        </w:rPr>
        <w:t>Malpractice and Plagiarism Policy</w:t>
      </w:r>
    </w:p>
    <w:p w14:paraId="6FDDA7BC" w14:textId="4C3F7DFB"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Reviewed:</w:t>
      </w:r>
      <w:r w:rsidRPr="000843BF">
        <w:rPr>
          <w:rFonts w:asciiTheme="majorHAnsi" w:eastAsiaTheme="majorEastAsia" w:hAnsiTheme="majorHAnsi" w:cstheme="majorBidi"/>
          <w:color w:val="0F4761" w:themeColor="accent1" w:themeShade="BF"/>
          <w:sz w:val="22"/>
          <w:szCs w:val="22"/>
          <w:lang w:val="en-GB"/>
        </w:rPr>
        <w:t xml:space="preserve"> </w:t>
      </w:r>
      <w:r w:rsidR="00F408FD">
        <w:rPr>
          <w:rFonts w:asciiTheme="majorHAnsi" w:eastAsiaTheme="majorEastAsia" w:hAnsiTheme="majorHAnsi" w:cstheme="majorBidi"/>
          <w:color w:val="0F4761" w:themeColor="accent1" w:themeShade="BF"/>
          <w:sz w:val="22"/>
          <w:szCs w:val="22"/>
          <w:lang w:val="en-GB"/>
        </w:rPr>
        <w:t>April 2026</w:t>
      </w:r>
      <w:r w:rsidRPr="000843BF">
        <w:rPr>
          <w:rFonts w:asciiTheme="majorHAnsi" w:eastAsiaTheme="majorEastAsia" w:hAnsiTheme="majorHAnsi" w:cstheme="majorBidi"/>
          <w:color w:val="0F4761" w:themeColor="accent1" w:themeShade="BF"/>
          <w:sz w:val="22"/>
          <w:szCs w:val="22"/>
          <w:lang w:val="en-GB"/>
        </w:rPr>
        <w:br/>
      </w:r>
      <w:r w:rsidRPr="000843BF">
        <w:rPr>
          <w:rFonts w:asciiTheme="majorHAnsi" w:eastAsiaTheme="majorEastAsia" w:hAnsiTheme="majorHAnsi" w:cstheme="majorBidi"/>
          <w:b/>
          <w:bCs/>
          <w:color w:val="0F4761" w:themeColor="accent1" w:themeShade="BF"/>
          <w:sz w:val="22"/>
          <w:szCs w:val="22"/>
          <w:lang w:val="en-GB"/>
        </w:rPr>
        <w:t>Next Review Date:</w:t>
      </w:r>
      <w:r w:rsidRPr="000843BF">
        <w:rPr>
          <w:rFonts w:asciiTheme="majorHAnsi" w:eastAsiaTheme="majorEastAsia" w:hAnsiTheme="majorHAnsi" w:cstheme="majorBidi"/>
          <w:color w:val="0F4761" w:themeColor="accent1" w:themeShade="BF"/>
          <w:sz w:val="22"/>
          <w:szCs w:val="22"/>
          <w:lang w:val="en-GB"/>
        </w:rPr>
        <w:t xml:space="preserve"> </w:t>
      </w:r>
      <w:r w:rsidR="00F408FD">
        <w:rPr>
          <w:rFonts w:asciiTheme="majorHAnsi" w:eastAsiaTheme="majorEastAsia" w:hAnsiTheme="majorHAnsi" w:cstheme="majorBidi"/>
          <w:color w:val="0F4761" w:themeColor="accent1" w:themeShade="BF"/>
          <w:sz w:val="22"/>
          <w:szCs w:val="22"/>
          <w:lang w:val="en-GB"/>
        </w:rPr>
        <w:t>April 2027</w:t>
      </w:r>
    </w:p>
    <w:p w14:paraId="2578C8BE"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344BC09A">
          <v:rect id="_x0000_i1025" style="width:0;height:1.5pt" o:hralign="center" o:hrstd="t" o:hr="t" fillcolor="#a0a0a0" stroked="f"/>
        </w:pict>
      </w:r>
    </w:p>
    <w:p w14:paraId="25B9D4CD"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1. Purpose</w:t>
      </w:r>
    </w:p>
    <w:p w14:paraId="652583A7"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This policy sets out how FloorSkills Ltd. prevents, identifies, investigates, and responds to malpractice, maladministration, and plagiarism in line with Ofsted, DfE, and awarding organisation requirements. The aim is to maintain the integrity of qualifications, ensure fair assessment for all learners, and protect the reputation of the organisation.</w:t>
      </w:r>
    </w:p>
    <w:p w14:paraId="6B388CEF"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59289EF3">
          <v:rect id="_x0000_i1026" style="width:0;height:1.5pt" o:hralign="center" o:hrstd="t" o:hr="t" fillcolor="#a0a0a0" stroked="f"/>
        </w:pict>
      </w:r>
    </w:p>
    <w:p w14:paraId="7383A2E9"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2. Legislation and Guidance</w:t>
      </w:r>
    </w:p>
    <w:p w14:paraId="1C0DA8AD"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This policy is informed by:</w:t>
      </w:r>
    </w:p>
    <w:p w14:paraId="530CBB34" w14:textId="3CCA0D54"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Education Inspection Framework (EIF) 20</w:t>
      </w:r>
      <w:r w:rsidR="00370553">
        <w:rPr>
          <w:rFonts w:asciiTheme="majorHAnsi" w:eastAsiaTheme="majorEastAsia" w:hAnsiTheme="majorHAnsi" w:cstheme="majorBidi"/>
          <w:b/>
          <w:bCs/>
          <w:color w:val="0F4761" w:themeColor="accent1" w:themeShade="BF"/>
          <w:sz w:val="22"/>
          <w:szCs w:val="22"/>
          <w:lang w:val="en-GB"/>
        </w:rPr>
        <w:t>25</w:t>
      </w:r>
      <w:r w:rsidRPr="000843BF">
        <w:rPr>
          <w:rFonts w:asciiTheme="majorHAnsi" w:eastAsiaTheme="majorEastAsia" w:hAnsiTheme="majorHAnsi" w:cstheme="majorBidi"/>
          <w:color w:val="0F4761" w:themeColor="accent1" w:themeShade="BF"/>
          <w:sz w:val="22"/>
          <w:szCs w:val="22"/>
          <w:lang w:val="en-GB"/>
        </w:rPr>
        <w:t xml:space="preserve"> – Integrity of assessment and safeguarding of learners.</w:t>
      </w:r>
    </w:p>
    <w:p w14:paraId="2A76A93C" w14:textId="77777777"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Ofqual General Conditions of Recognition.</w:t>
      </w:r>
    </w:p>
    <w:p w14:paraId="2547397E" w14:textId="58DFAE72"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DfE Apprenticeship Funding Rules (202</w:t>
      </w:r>
      <w:r w:rsidR="0013097D">
        <w:rPr>
          <w:rFonts w:asciiTheme="majorHAnsi" w:eastAsiaTheme="majorEastAsia" w:hAnsiTheme="majorHAnsi" w:cstheme="majorBidi"/>
          <w:b/>
          <w:bCs/>
          <w:color w:val="0F4761" w:themeColor="accent1" w:themeShade="BF"/>
          <w:sz w:val="22"/>
          <w:szCs w:val="22"/>
          <w:lang w:val="en-GB"/>
        </w:rPr>
        <w:t>5</w:t>
      </w:r>
      <w:r w:rsidRPr="000843BF">
        <w:rPr>
          <w:rFonts w:asciiTheme="majorHAnsi" w:eastAsiaTheme="majorEastAsia" w:hAnsiTheme="majorHAnsi" w:cstheme="majorBidi"/>
          <w:b/>
          <w:bCs/>
          <w:color w:val="0F4761" w:themeColor="accent1" w:themeShade="BF"/>
          <w:sz w:val="22"/>
          <w:szCs w:val="22"/>
          <w:lang w:val="en-GB"/>
        </w:rPr>
        <w:t>/</w:t>
      </w:r>
      <w:r w:rsidR="00F408FD">
        <w:rPr>
          <w:rFonts w:asciiTheme="majorHAnsi" w:eastAsiaTheme="majorEastAsia" w:hAnsiTheme="majorHAnsi" w:cstheme="majorBidi"/>
          <w:b/>
          <w:bCs/>
          <w:color w:val="0F4761" w:themeColor="accent1" w:themeShade="BF"/>
          <w:sz w:val="22"/>
          <w:szCs w:val="22"/>
          <w:lang w:val="en-GB"/>
        </w:rPr>
        <w:t>2</w:t>
      </w:r>
      <w:r w:rsidR="003171E8">
        <w:rPr>
          <w:rFonts w:asciiTheme="majorHAnsi" w:eastAsiaTheme="majorEastAsia" w:hAnsiTheme="majorHAnsi" w:cstheme="majorBidi"/>
          <w:b/>
          <w:bCs/>
          <w:color w:val="0F4761" w:themeColor="accent1" w:themeShade="BF"/>
          <w:sz w:val="22"/>
          <w:szCs w:val="22"/>
          <w:lang w:val="en-GB"/>
        </w:rPr>
        <w:t>6</w:t>
      </w:r>
      <w:r w:rsidRPr="000843BF">
        <w:rPr>
          <w:rFonts w:asciiTheme="majorHAnsi" w:eastAsiaTheme="majorEastAsia" w:hAnsiTheme="majorHAnsi" w:cstheme="majorBidi"/>
          <w:b/>
          <w:bCs/>
          <w:color w:val="0F4761" w:themeColor="accent1" w:themeShade="BF"/>
          <w:sz w:val="22"/>
          <w:szCs w:val="22"/>
          <w:lang w:val="en-GB"/>
        </w:rPr>
        <w:t>).</w:t>
      </w:r>
    </w:p>
    <w:p w14:paraId="38755052" w14:textId="77777777"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Awarding Organisation Malpractice Policies</w:t>
      </w:r>
      <w:r w:rsidRPr="000843BF">
        <w:rPr>
          <w:rFonts w:asciiTheme="majorHAnsi" w:eastAsiaTheme="majorEastAsia" w:hAnsiTheme="majorHAnsi" w:cstheme="majorBidi"/>
          <w:color w:val="0F4761" w:themeColor="accent1" w:themeShade="BF"/>
          <w:sz w:val="22"/>
          <w:szCs w:val="22"/>
          <w:lang w:val="en-GB"/>
        </w:rPr>
        <w:t xml:space="preserve"> (e.g., NOCN, Highfield, City &amp; Guilds).</w:t>
      </w:r>
    </w:p>
    <w:p w14:paraId="07972073" w14:textId="77777777"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JCQ Suspected Malpractice Policies and Procedures</w:t>
      </w:r>
      <w:r w:rsidRPr="000843BF">
        <w:rPr>
          <w:rFonts w:asciiTheme="majorHAnsi" w:eastAsiaTheme="majorEastAsia" w:hAnsiTheme="majorHAnsi" w:cstheme="majorBidi"/>
          <w:color w:val="0F4761" w:themeColor="accent1" w:themeShade="BF"/>
          <w:sz w:val="22"/>
          <w:szCs w:val="22"/>
          <w:lang w:val="en-GB"/>
        </w:rPr>
        <w:t xml:space="preserve"> (where applicable).</w:t>
      </w:r>
    </w:p>
    <w:p w14:paraId="4BC49A44" w14:textId="77777777"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Keeping Children Safe in Education (KCSiE) 2024</w:t>
      </w:r>
      <w:r w:rsidRPr="000843BF">
        <w:rPr>
          <w:rFonts w:asciiTheme="majorHAnsi" w:eastAsiaTheme="majorEastAsia" w:hAnsiTheme="majorHAnsi" w:cstheme="majorBidi"/>
          <w:color w:val="0F4761" w:themeColor="accent1" w:themeShade="BF"/>
          <w:sz w:val="22"/>
          <w:szCs w:val="22"/>
          <w:lang w:val="en-GB"/>
        </w:rPr>
        <w:t xml:space="preserve"> – where malpractice may overlap with safeguarding concerns.</w:t>
      </w:r>
    </w:p>
    <w:p w14:paraId="505F0F46" w14:textId="77777777" w:rsidR="000843BF" w:rsidRPr="000843BF" w:rsidRDefault="000843BF" w:rsidP="000843BF">
      <w:pPr>
        <w:numPr>
          <w:ilvl w:val="0"/>
          <w:numId w:val="7"/>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UK GDPR / Data Protection Act 2018</w:t>
      </w:r>
      <w:r w:rsidRPr="000843BF">
        <w:rPr>
          <w:rFonts w:asciiTheme="majorHAnsi" w:eastAsiaTheme="majorEastAsia" w:hAnsiTheme="majorHAnsi" w:cstheme="majorBidi"/>
          <w:color w:val="0F4761" w:themeColor="accent1" w:themeShade="BF"/>
          <w:sz w:val="22"/>
          <w:szCs w:val="22"/>
          <w:lang w:val="en-GB"/>
        </w:rPr>
        <w:t xml:space="preserve"> – for handling evidence, learner data, and investigation records.</w:t>
      </w:r>
    </w:p>
    <w:p w14:paraId="69D9D1D6"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0666A34D">
          <v:rect id="_x0000_i1027" style="width:0;height:1.5pt" o:hralign="center" o:hrstd="t" o:hr="t" fillcolor="#a0a0a0" stroked="f"/>
        </w:pict>
      </w:r>
    </w:p>
    <w:p w14:paraId="6453DDAD"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3. Definitions</w:t>
      </w:r>
    </w:p>
    <w:p w14:paraId="006C1503"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Malpractice</w:t>
      </w:r>
      <w:r w:rsidRPr="000843BF">
        <w:rPr>
          <w:rFonts w:asciiTheme="majorHAnsi" w:eastAsiaTheme="majorEastAsia" w:hAnsiTheme="majorHAnsi" w:cstheme="majorBidi"/>
          <w:color w:val="0F4761" w:themeColor="accent1" w:themeShade="BF"/>
          <w:sz w:val="22"/>
          <w:szCs w:val="22"/>
          <w:lang w:val="en-GB"/>
        </w:rPr>
        <w:t xml:space="preserve"> – Any deliberate act, default, or practice that compromises assessment integrity, including deception or falsification of records to gain a qualification or certificate.</w:t>
      </w:r>
    </w:p>
    <w:p w14:paraId="4D6EBB6D"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Maladministration</w:t>
      </w:r>
      <w:r w:rsidRPr="000843BF">
        <w:rPr>
          <w:rFonts w:asciiTheme="majorHAnsi" w:eastAsiaTheme="majorEastAsia" w:hAnsiTheme="majorHAnsi" w:cstheme="majorBidi"/>
          <w:color w:val="0F4761" w:themeColor="accent1" w:themeShade="BF"/>
          <w:sz w:val="22"/>
          <w:szCs w:val="22"/>
          <w:lang w:val="en-GB"/>
        </w:rPr>
        <w:t xml:space="preserve"> – Inefficient or dishonest administration or failure to follow required procedures, whether deliberate or due to negligence.</w:t>
      </w:r>
    </w:p>
    <w:p w14:paraId="2C192C4D"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Plagiarism</w:t>
      </w:r>
      <w:r w:rsidRPr="000843BF">
        <w:rPr>
          <w:rFonts w:asciiTheme="majorHAnsi" w:eastAsiaTheme="majorEastAsia" w:hAnsiTheme="majorHAnsi" w:cstheme="majorBidi"/>
          <w:color w:val="0F4761" w:themeColor="accent1" w:themeShade="BF"/>
          <w:sz w:val="22"/>
          <w:szCs w:val="22"/>
          <w:lang w:val="en-GB"/>
        </w:rPr>
        <w:t xml:space="preserve"> – Presenting another person’s work, ideas, or digital content (including AI-generated text) as one’s own without appropriate acknowledgement.</w:t>
      </w:r>
    </w:p>
    <w:p w14:paraId="5CC553E6"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lastRenderedPageBreak/>
        <w:pict w14:anchorId="2A937E57">
          <v:rect id="_x0000_i1028" style="width:0;height:1.5pt" o:hralign="center" o:hrstd="t" o:hr="t" fillcolor="#a0a0a0" stroked="f"/>
        </w:pict>
      </w:r>
    </w:p>
    <w:p w14:paraId="193074CD"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4. Examples of Malpractice</w:t>
      </w:r>
    </w:p>
    <w:p w14:paraId="72FD9291"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Learner Malpractice (non-exhaustive):</w:t>
      </w:r>
    </w:p>
    <w:p w14:paraId="04ECCA6D"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Plagiarism, including unacknowledged copying from books, internet sources, or use of AI-generated work.</w:t>
      </w:r>
    </w:p>
    <w:p w14:paraId="0B1E73EB"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Making false declarations of authenticity.</w:t>
      </w:r>
    </w:p>
    <w:p w14:paraId="2A51BA51"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Collusion – working with others to produce work submitted as individual evidence.</w:t>
      </w:r>
    </w:p>
    <w:p w14:paraId="1C6574E4"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Impersonation – arranging for someone else to complete work or assessments.</w:t>
      </w:r>
    </w:p>
    <w:p w14:paraId="7B4222E5"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Cheating – including use of unauthorised notes, devices, or altering results documents.</w:t>
      </w:r>
    </w:p>
    <w:p w14:paraId="3341A3C1" w14:textId="77777777" w:rsidR="000843BF" w:rsidRPr="000843BF" w:rsidRDefault="000843BF" w:rsidP="000843BF">
      <w:pPr>
        <w:numPr>
          <w:ilvl w:val="0"/>
          <w:numId w:val="8"/>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Failure to follow instructions from assessors or invigilators.</w:t>
      </w:r>
    </w:p>
    <w:p w14:paraId="7833E0A0"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Staff Malpractice (non-exhaustive):</w:t>
      </w:r>
    </w:p>
    <w:p w14:paraId="793D5F32"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Falsifying assessment records, witness statements, or IQA reports.</w:t>
      </w:r>
    </w:p>
    <w:p w14:paraId="4279F1C8"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Assisting learners inappropriately (e.g., producing work for them).</w:t>
      </w:r>
    </w:p>
    <w:p w14:paraId="5B3D5FCB"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Allowing non-authentic evidence to be submitted.</w:t>
      </w:r>
    </w:p>
    <w:p w14:paraId="5C90DC4A"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Improperly disclosing or tampering with assessment material.</w:t>
      </w:r>
    </w:p>
    <w:p w14:paraId="3C5FF227"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Entering fictitious candidates or fraudulently claiming certificates.</w:t>
      </w:r>
    </w:p>
    <w:p w14:paraId="47D991E4" w14:textId="77777777" w:rsidR="000843BF" w:rsidRPr="000843BF" w:rsidRDefault="000843BF" w:rsidP="000843BF">
      <w:pPr>
        <w:numPr>
          <w:ilvl w:val="0"/>
          <w:numId w:val="9"/>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Misusing access arrangements beyond permitted levels.</w:t>
      </w:r>
    </w:p>
    <w:p w14:paraId="00BEBBDD"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7762A060">
          <v:rect id="_x0000_i1029" style="width:0;height:1.5pt" o:hralign="center" o:hrstd="t" o:hr="t" fillcolor="#a0a0a0" stroked="f"/>
        </w:pict>
      </w:r>
    </w:p>
    <w:p w14:paraId="3039AD35"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5. Roles and Responsibilities</w:t>
      </w:r>
    </w:p>
    <w:p w14:paraId="2FB68C45" w14:textId="77777777" w:rsidR="000843BF" w:rsidRPr="000843BF" w:rsidRDefault="000843BF" w:rsidP="000843BF">
      <w:pPr>
        <w:numPr>
          <w:ilvl w:val="0"/>
          <w:numId w:val="10"/>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Directors:</w:t>
      </w:r>
      <w:r w:rsidRPr="000843BF">
        <w:rPr>
          <w:rFonts w:asciiTheme="majorHAnsi" w:eastAsiaTheme="majorEastAsia" w:hAnsiTheme="majorHAnsi" w:cstheme="majorBidi"/>
          <w:color w:val="0F4761" w:themeColor="accent1" w:themeShade="BF"/>
          <w:sz w:val="22"/>
          <w:szCs w:val="22"/>
          <w:lang w:val="en-GB"/>
        </w:rPr>
        <w:t xml:space="preserve"> Responsible for overall compliance, reporting cases to awarding organisations, and ensuring investigations are fair and timely.</w:t>
      </w:r>
    </w:p>
    <w:p w14:paraId="092FF305" w14:textId="77777777" w:rsidR="000843BF" w:rsidRPr="000843BF" w:rsidRDefault="000843BF" w:rsidP="000843BF">
      <w:pPr>
        <w:numPr>
          <w:ilvl w:val="0"/>
          <w:numId w:val="10"/>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IQAs / Assessors / Trainers:</w:t>
      </w:r>
      <w:r w:rsidRPr="000843BF">
        <w:rPr>
          <w:rFonts w:asciiTheme="majorHAnsi" w:eastAsiaTheme="majorEastAsia" w:hAnsiTheme="majorHAnsi" w:cstheme="majorBidi"/>
          <w:color w:val="0F4761" w:themeColor="accent1" w:themeShade="BF"/>
          <w:sz w:val="22"/>
          <w:szCs w:val="22"/>
          <w:lang w:val="en-GB"/>
        </w:rPr>
        <w:t xml:space="preserve"> Detect and report suspected malpractice, gather evidence, and cooperate with investigations.</w:t>
      </w:r>
    </w:p>
    <w:p w14:paraId="0F8ACEA3" w14:textId="77777777" w:rsidR="000843BF" w:rsidRPr="000843BF" w:rsidRDefault="000843BF" w:rsidP="000843BF">
      <w:pPr>
        <w:numPr>
          <w:ilvl w:val="0"/>
          <w:numId w:val="10"/>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Learners:</w:t>
      </w:r>
      <w:r w:rsidRPr="000843BF">
        <w:rPr>
          <w:rFonts w:asciiTheme="majorHAnsi" w:eastAsiaTheme="majorEastAsia" w:hAnsiTheme="majorHAnsi" w:cstheme="majorBidi"/>
          <w:color w:val="0F4761" w:themeColor="accent1" w:themeShade="BF"/>
          <w:sz w:val="22"/>
          <w:szCs w:val="22"/>
          <w:lang w:val="en-GB"/>
        </w:rPr>
        <w:t xml:space="preserve"> Must maintain authenticity of work and comply with assessment rules.</w:t>
      </w:r>
    </w:p>
    <w:p w14:paraId="5B260DCE"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1DAF7BBD">
          <v:rect id="_x0000_i1030" style="width:0;height:1.5pt" o:hralign="center" o:hrstd="t" o:hr="t" fillcolor="#a0a0a0" stroked="f"/>
        </w:pict>
      </w:r>
    </w:p>
    <w:p w14:paraId="557B3B44"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7EE751A7"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5DEC7E13" w14:textId="739D919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lastRenderedPageBreak/>
        <w:t>6. Preventative Measures</w:t>
      </w:r>
    </w:p>
    <w:p w14:paraId="54AD8627"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Learners trained at induction on plagiarism, referencing, and authenticity.</w:t>
      </w:r>
    </w:p>
    <w:p w14:paraId="20006B8C"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Assessment tasks regularly updated to minimise risk of copying.</w:t>
      </w:r>
    </w:p>
    <w:p w14:paraId="4B2AAA7B"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Supervised assessment sessions and use of oral questioning to confirm understanding.</w:t>
      </w:r>
    </w:p>
    <w:p w14:paraId="3EDB1B9B"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Secure storage of assessment papers and mark schemes.</w:t>
      </w:r>
    </w:p>
    <w:p w14:paraId="76BEEADD"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Regular internal quality assurance checks.</w:t>
      </w:r>
    </w:p>
    <w:p w14:paraId="15450D29" w14:textId="77777777" w:rsidR="000843BF" w:rsidRPr="000843BF" w:rsidRDefault="000843BF" w:rsidP="000843BF">
      <w:pPr>
        <w:numPr>
          <w:ilvl w:val="0"/>
          <w:numId w:val="11"/>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Annual staff CPD on malpractice prevention and detection.</w:t>
      </w:r>
    </w:p>
    <w:p w14:paraId="15168E87"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702AB4AF">
          <v:rect id="_x0000_i1031" style="width:0;height:1.5pt" o:hralign="center" o:hrstd="t" o:hr="t" fillcolor="#a0a0a0" stroked="f"/>
        </w:pict>
      </w:r>
    </w:p>
    <w:p w14:paraId="1D66801A"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7. Procedure for Investigating Malpractice</w:t>
      </w:r>
    </w:p>
    <w:p w14:paraId="004D1B9F"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Detection:</w:t>
      </w:r>
      <w:r w:rsidRPr="000843BF">
        <w:rPr>
          <w:rFonts w:asciiTheme="majorHAnsi" w:eastAsiaTheme="majorEastAsia" w:hAnsiTheme="majorHAnsi" w:cstheme="majorBidi"/>
          <w:color w:val="0F4761" w:themeColor="accent1" w:themeShade="BF"/>
          <w:sz w:val="22"/>
          <w:szCs w:val="22"/>
          <w:lang w:val="en-GB"/>
        </w:rPr>
        <w:t xml:space="preserve"> Concern identified by staff, IQA, or awarding body.</w:t>
      </w:r>
    </w:p>
    <w:p w14:paraId="292962C1"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Initial Review:</w:t>
      </w:r>
      <w:r w:rsidRPr="000843BF">
        <w:rPr>
          <w:rFonts w:asciiTheme="majorHAnsi" w:eastAsiaTheme="majorEastAsia" w:hAnsiTheme="majorHAnsi" w:cstheme="majorBidi"/>
          <w:color w:val="0F4761" w:themeColor="accent1" w:themeShade="BF"/>
          <w:sz w:val="22"/>
          <w:szCs w:val="22"/>
          <w:lang w:val="en-GB"/>
        </w:rPr>
        <w:t xml:space="preserve"> Gather facts and evidence within 5 working days.</w:t>
      </w:r>
    </w:p>
    <w:p w14:paraId="33BE3E3D"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Notification:</w:t>
      </w:r>
      <w:r w:rsidRPr="000843BF">
        <w:rPr>
          <w:rFonts w:asciiTheme="majorHAnsi" w:eastAsiaTheme="majorEastAsia" w:hAnsiTheme="majorHAnsi" w:cstheme="majorBidi"/>
          <w:color w:val="0F4761" w:themeColor="accent1" w:themeShade="BF"/>
          <w:sz w:val="22"/>
          <w:szCs w:val="22"/>
          <w:lang w:val="en-GB"/>
        </w:rPr>
        <w:t xml:space="preserve"> Inform learner/staff in writing of the allegation, evidence, and potential consequences.</w:t>
      </w:r>
    </w:p>
    <w:p w14:paraId="24666DE6"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Investigation:</w:t>
      </w:r>
      <w:r w:rsidRPr="000843BF">
        <w:rPr>
          <w:rFonts w:asciiTheme="majorHAnsi" w:eastAsiaTheme="majorEastAsia" w:hAnsiTheme="majorHAnsi" w:cstheme="majorBidi"/>
          <w:color w:val="0F4761" w:themeColor="accent1" w:themeShade="BF"/>
          <w:sz w:val="22"/>
          <w:szCs w:val="22"/>
          <w:lang w:val="en-GB"/>
        </w:rPr>
        <w:t xml:space="preserve"> Conducted by Directors or delegated senior manager. Witness statements collected, evidence reviewed.</w:t>
      </w:r>
    </w:p>
    <w:p w14:paraId="0892CBD4"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Right to Respond:</w:t>
      </w:r>
      <w:r w:rsidRPr="000843BF">
        <w:rPr>
          <w:rFonts w:asciiTheme="majorHAnsi" w:eastAsiaTheme="majorEastAsia" w:hAnsiTheme="majorHAnsi" w:cstheme="majorBidi"/>
          <w:color w:val="0F4761" w:themeColor="accent1" w:themeShade="BF"/>
          <w:sz w:val="22"/>
          <w:szCs w:val="22"/>
          <w:lang w:val="en-GB"/>
        </w:rPr>
        <w:t xml:space="preserve"> Individual(s) given 10 working days to submit a written response.</w:t>
      </w:r>
    </w:p>
    <w:p w14:paraId="02A22B22"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Outcome:</w:t>
      </w:r>
      <w:r w:rsidRPr="000843BF">
        <w:rPr>
          <w:rFonts w:asciiTheme="majorHAnsi" w:eastAsiaTheme="majorEastAsia" w:hAnsiTheme="majorHAnsi" w:cstheme="majorBidi"/>
          <w:color w:val="0F4761" w:themeColor="accent1" w:themeShade="BF"/>
          <w:sz w:val="22"/>
          <w:szCs w:val="22"/>
          <w:lang w:val="en-GB"/>
        </w:rPr>
        <w:t xml:space="preserve"> Decision made within 20 working days, outcome shared in writing.</w:t>
      </w:r>
    </w:p>
    <w:p w14:paraId="225D63C9"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Reporting:</w:t>
      </w:r>
      <w:r w:rsidRPr="000843BF">
        <w:rPr>
          <w:rFonts w:asciiTheme="majorHAnsi" w:eastAsiaTheme="majorEastAsia" w:hAnsiTheme="majorHAnsi" w:cstheme="majorBidi"/>
          <w:color w:val="0F4761" w:themeColor="accent1" w:themeShade="BF"/>
          <w:sz w:val="22"/>
          <w:szCs w:val="22"/>
          <w:lang w:val="en-GB"/>
        </w:rPr>
        <w:t xml:space="preserve"> Awarding organisation notified as required.</w:t>
      </w:r>
    </w:p>
    <w:p w14:paraId="73C9E4D8" w14:textId="77777777" w:rsidR="000843BF" w:rsidRPr="000843BF" w:rsidRDefault="000843BF" w:rsidP="000843BF">
      <w:pPr>
        <w:numPr>
          <w:ilvl w:val="0"/>
          <w:numId w:val="12"/>
        </w:num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Appeals:</w:t>
      </w:r>
      <w:r w:rsidRPr="000843BF">
        <w:rPr>
          <w:rFonts w:asciiTheme="majorHAnsi" w:eastAsiaTheme="majorEastAsia" w:hAnsiTheme="majorHAnsi" w:cstheme="majorBidi"/>
          <w:color w:val="0F4761" w:themeColor="accent1" w:themeShade="BF"/>
          <w:sz w:val="22"/>
          <w:szCs w:val="22"/>
          <w:lang w:val="en-GB"/>
        </w:rPr>
        <w:t xml:space="preserve"> Individuals may use the Appeals Policy if dissatisfied with the outcome.</w:t>
      </w:r>
    </w:p>
    <w:p w14:paraId="235D269C"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 xml:space="preserve">Records of investigations are retained securely for a minimum of </w:t>
      </w:r>
      <w:r w:rsidRPr="000843BF">
        <w:rPr>
          <w:rFonts w:asciiTheme="majorHAnsi" w:eastAsiaTheme="majorEastAsia" w:hAnsiTheme="majorHAnsi" w:cstheme="majorBidi"/>
          <w:b/>
          <w:bCs/>
          <w:color w:val="0F4761" w:themeColor="accent1" w:themeShade="BF"/>
          <w:sz w:val="22"/>
          <w:szCs w:val="22"/>
          <w:lang w:val="en-GB"/>
        </w:rPr>
        <w:t>5 years</w:t>
      </w:r>
      <w:r w:rsidRPr="000843BF">
        <w:rPr>
          <w:rFonts w:asciiTheme="majorHAnsi" w:eastAsiaTheme="majorEastAsia" w:hAnsiTheme="majorHAnsi" w:cstheme="majorBidi"/>
          <w:color w:val="0F4761" w:themeColor="accent1" w:themeShade="BF"/>
          <w:sz w:val="22"/>
          <w:szCs w:val="22"/>
          <w:lang w:val="en-GB"/>
        </w:rPr>
        <w:t>.</w:t>
      </w:r>
    </w:p>
    <w:p w14:paraId="479EF721"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3162922A">
          <v:rect id="_x0000_i1032" style="width:0;height:1.5pt" o:hralign="center" o:hrstd="t" o:hr="t" fillcolor="#a0a0a0" stroked="f"/>
        </w:pict>
      </w:r>
    </w:p>
    <w:p w14:paraId="7379A459"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2CAE2DE7"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4118CD2E"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4067B5F8"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16884EBD"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17979870" w14:textId="77777777" w:rsidR="000843BF" w:rsidRDefault="000843BF" w:rsidP="000843BF">
      <w:pPr>
        <w:rPr>
          <w:rFonts w:asciiTheme="majorHAnsi" w:eastAsiaTheme="majorEastAsia" w:hAnsiTheme="majorHAnsi" w:cstheme="majorBidi"/>
          <w:b/>
          <w:bCs/>
          <w:color w:val="0F4761" w:themeColor="accent1" w:themeShade="BF"/>
          <w:sz w:val="22"/>
          <w:szCs w:val="22"/>
          <w:lang w:val="en-GB"/>
        </w:rPr>
      </w:pPr>
    </w:p>
    <w:p w14:paraId="387B7944" w14:textId="064170F8"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lastRenderedPageBreak/>
        <w:t>8. Sanctions</w:t>
      </w:r>
    </w:p>
    <w:p w14:paraId="73E7FC18"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Sanctions are proportionate to the severity of the malpractice and may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7652"/>
      </w:tblGrid>
      <w:tr w:rsidR="000843BF" w:rsidRPr="000843BF" w14:paraId="653467FC" w14:textId="77777777">
        <w:trPr>
          <w:tblHeader/>
          <w:tblCellSpacing w:w="15" w:type="dxa"/>
        </w:trPr>
        <w:tc>
          <w:tcPr>
            <w:tcW w:w="0" w:type="auto"/>
            <w:vAlign w:val="center"/>
            <w:hideMark/>
          </w:tcPr>
          <w:p w14:paraId="25BF0F1E"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Severity</w:t>
            </w:r>
          </w:p>
        </w:tc>
        <w:tc>
          <w:tcPr>
            <w:tcW w:w="0" w:type="auto"/>
            <w:vAlign w:val="center"/>
            <w:hideMark/>
          </w:tcPr>
          <w:p w14:paraId="2DB3C90B"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Possible Sanction</w:t>
            </w:r>
          </w:p>
        </w:tc>
      </w:tr>
      <w:tr w:rsidR="000843BF" w:rsidRPr="000843BF" w14:paraId="669865B6" w14:textId="77777777">
        <w:trPr>
          <w:tblCellSpacing w:w="15" w:type="dxa"/>
        </w:trPr>
        <w:tc>
          <w:tcPr>
            <w:tcW w:w="0" w:type="auto"/>
            <w:vAlign w:val="center"/>
            <w:hideMark/>
          </w:tcPr>
          <w:p w14:paraId="26862935"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Minor</w:t>
            </w:r>
          </w:p>
        </w:tc>
        <w:tc>
          <w:tcPr>
            <w:tcW w:w="0" w:type="auto"/>
            <w:vAlign w:val="center"/>
            <w:hideMark/>
          </w:tcPr>
          <w:p w14:paraId="03E796FF"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Resubmission of work, written warning</w:t>
            </w:r>
          </w:p>
        </w:tc>
      </w:tr>
      <w:tr w:rsidR="000843BF" w:rsidRPr="000843BF" w14:paraId="2ADAE5C1" w14:textId="77777777">
        <w:trPr>
          <w:tblCellSpacing w:w="15" w:type="dxa"/>
        </w:trPr>
        <w:tc>
          <w:tcPr>
            <w:tcW w:w="0" w:type="auto"/>
            <w:vAlign w:val="center"/>
            <w:hideMark/>
          </w:tcPr>
          <w:p w14:paraId="7F82F658"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Moderate</w:t>
            </w:r>
          </w:p>
        </w:tc>
        <w:tc>
          <w:tcPr>
            <w:tcW w:w="0" w:type="auto"/>
            <w:vAlign w:val="center"/>
            <w:hideMark/>
          </w:tcPr>
          <w:p w14:paraId="5E317824"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Mark reduction, removal of unit result</w:t>
            </w:r>
          </w:p>
        </w:tc>
      </w:tr>
      <w:tr w:rsidR="000843BF" w:rsidRPr="000843BF" w14:paraId="59120E56" w14:textId="77777777">
        <w:trPr>
          <w:tblCellSpacing w:w="15" w:type="dxa"/>
        </w:trPr>
        <w:tc>
          <w:tcPr>
            <w:tcW w:w="0" w:type="auto"/>
            <w:vAlign w:val="center"/>
            <w:hideMark/>
          </w:tcPr>
          <w:p w14:paraId="2AACED70"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Severe</w:t>
            </w:r>
          </w:p>
        </w:tc>
        <w:tc>
          <w:tcPr>
            <w:tcW w:w="0" w:type="auto"/>
            <w:vAlign w:val="center"/>
            <w:hideMark/>
          </w:tcPr>
          <w:p w14:paraId="471DB0BD"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Removal from programme, referral to employer, permanent barring from assessments</w:t>
            </w:r>
          </w:p>
        </w:tc>
      </w:tr>
    </w:tbl>
    <w:p w14:paraId="24BCE49E"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Awarding organisations may apply additional sanctions.</w:t>
      </w:r>
    </w:p>
    <w:p w14:paraId="7D9B4009"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2D8E2103">
          <v:rect id="_x0000_i1033" style="width:0;height:1.5pt" o:hralign="center" o:hrstd="t" o:hr="t" fillcolor="#a0a0a0" stroked="f"/>
        </w:pict>
      </w:r>
    </w:p>
    <w:p w14:paraId="47F493C7"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9. Learner and Employer Communication</w:t>
      </w:r>
    </w:p>
    <w:p w14:paraId="0CD61289"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This policy is communicated at induction, made available on request, and reviewed annually. Learners and employers are reminded that failure to report suspected malpractice is itself a breach of policy.</w:t>
      </w:r>
    </w:p>
    <w:p w14:paraId="0B91D210"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40953C11">
          <v:rect id="_x0000_i1034" style="width:0;height:1.5pt" o:hralign="center" o:hrstd="t" o:hr="t" fillcolor="#a0a0a0" stroked="f"/>
        </w:pict>
      </w:r>
    </w:p>
    <w:p w14:paraId="74345D71" w14:textId="77777777" w:rsidR="000843BF" w:rsidRPr="000843BF" w:rsidRDefault="000843BF" w:rsidP="000843BF">
      <w:pPr>
        <w:rPr>
          <w:rFonts w:asciiTheme="majorHAnsi" w:eastAsiaTheme="majorEastAsia" w:hAnsiTheme="majorHAnsi" w:cstheme="majorBidi"/>
          <w:b/>
          <w:bCs/>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10. Policy Review</w:t>
      </w:r>
    </w:p>
    <w:p w14:paraId="17F1A9A5"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color w:val="0F4761" w:themeColor="accent1" w:themeShade="BF"/>
          <w:sz w:val="22"/>
          <w:szCs w:val="22"/>
          <w:lang w:val="en-GB"/>
        </w:rPr>
        <w:t>This policy will be reviewed annually or following significant regulatory changes to ensure ongoing compliance with Ofsted, DfE, and awarding body requirements.</w:t>
      </w:r>
    </w:p>
    <w:p w14:paraId="2D05E081" w14:textId="77777777" w:rsidR="000843BF" w:rsidRPr="000843BF" w:rsidRDefault="00000000" w:rsidP="000843BF">
      <w:pPr>
        <w:rPr>
          <w:rFonts w:asciiTheme="majorHAnsi" w:eastAsiaTheme="majorEastAsia" w:hAnsiTheme="majorHAnsi" w:cstheme="majorBidi"/>
          <w:color w:val="0F4761" w:themeColor="accent1" w:themeShade="BF"/>
          <w:sz w:val="22"/>
          <w:szCs w:val="22"/>
          <w:lang w:val="en-GB"/>
        </w:rPr>
      </w:pPr>
      <w:r>
        <w:rPr>
          <w:rFonts w:asciiTheme="majorHAnsi" w:eastAsiaTheme="majorEastAsia" w:hAnsiTheme="majorHAnsi" w:cstheme="majorBidi"/>
          <w:color w:val="0F4761" w:themeColor="accent1" w:themeShade="BF"/>
          <w:sz w:val="22"/>
          <w:szCs w:val="22"/>
          <w:lang w:val="en-GB"/>
        </w:rPr>
        <w:pict w14:anchorId="382E390F">
          <v:rect id="_x0000_i1035" style="width:0;height:1.5pt" o:hralign="center" o:hrstd="t" o:hr="t" fillcolor="#a0a0a0" stroked="f"/>
        </w:pict>
      </w:r>
    </w:p>
    <w:p w14:paraId="55828C3B" w14:textId="77777777" w:rsidR="000843BF" w:rsidRPr="000843BF" w:rsidRDefault="000843BF" w:rsidP="000843BF">
      <w:pPr>
        <w:rPr>
          <w:rFonts w:asciiTheme="majorHAnsi" w:eastAsiaTheme="majorEastAsia" w:hAnsiTheme="majorHAnsi" w:cstheme="majorBidi"/>
          <w:color w:val="0F4761" w:themeColor="accent1" w:themeShade="BF"/>
          <w:sz w:val="22"/>
          <w:szCs w:val="22"/>
          <w:lang w:val="en-GB"/>
        </w:rPr>
      </w:pPr>
      <w:r w:rsidRPr="000843BF">
        <w:rPr>
          <w:rFonts w:asciiTheme="majorHAnsi" w:eastAsiaTheme="majorEastAsia" w:hAnsiTheme="majorHAnsi" w:cstheme="majorBidi"/>
          <w:b/>
          <w:bCs/>
          <w:color w:val="0F4761" w:themeColor="accent1" w:themeShade="BF"/>
          <w:sz w:val="22"/>
          <w:szCs w:val="22"/>
          <w:lang w:val="en-GB"/>
        </w:rPr>
        <w:t>Responsible Person:</w:t>
      </w:r>
      <w:r w:rsidRPr="000843BF">
        <w:rPr>
          <w:rFonts w:asciiTheme="majorHAnsi" w:eastAsiaTheme="majorEastAsia" w:hAnsiTheme="majorHAnsi" w:cstheme="majorBidi"/>
          <w:color w:val="0F4761" w:themeColor="accent1" w:themeShade="BF"/>
          <w:sz w:val="22"/>
          <w:szCs w:val="22"/>
          <w:lang w:val="en-GB"/>
        </w:rPr>
        <w:br/>
        <w:t>Matthew Bourne – Managing Director</w:t>
      </w:r>
      <w:r w:rsidRPr="000843BF">
        <w:rPr>
          <w:rFonts w:asciiTheme="majorHAnsi" w:eastAsiaTheme="majorEastAsia" w:hAnsiTheme="majorHAnsi" w:cstheme="majorBidi"/>
          <w:color w:val="0F4761" w:themeColor="accent1" w:themeShade="BF"/>
          <w:sz w:val="22"/>
          <w:szCs w:val="22"/>
          <w:lang w:val="en-GB"/>
        </w:rPr>
        <w:br/>
        <w:t>Tel: 01564 703900</w:t>
      </w:r>
      <w:r w:rsidRPr="000843BF">
        <w:rPr>
          <w:rFonts w:asciiTheme="majorHAnsi" w:eastAsiaTheme="majorEastAsia" w:hAnsiTheme="majorHAnsi" w:cstheme="majorBidi"/>
          <w:color w:val="0F4761" w:themeColor="accent1" w:themeShade="BF"/>
          <w:sz w:val="22"/>
          <w:szCs w:val="22"/>
          <w:lang w:val="en-GB"/>
        </w:rPr>
        <w:br/>
        <w:t xml:space="preserve">Email: </w:t>
      </w:r>
      <w:hyperlink r:id="rId7" w:history="1">
        <w:r w:rsidRPr="000843BF">
          <w:rPr>
            <w:rStyle w:val="Hyperlink"/>
            <w:rFonts w:asciiTheme="majorHAnsi" w:eastAsiaTheme="majorEastAsia" w:hAnsiTheme="majorHAnsi" w:cstheme="majorBidi"/>
            <w:sz w:val="22"/>
            <w:szCs w:val="22"/>
            <w:lang w:val="en-GB"/>
          </w:rPr>
          <w:t>matt@floorskills.co.uk</w:t>
        </w:r>
      </w:hyperlink>
    </w:p>
    <w:p w14:paraId="7E05F54D" w14:textId="47376C8A" w:rsidR="00092A77" w:rsidRPr="000843BF" w:rsidRDefault="00092A77" w:rsidP="000843BF">
      <w:pPr>
        <w:rPr>
          <w:sz w:val="22"/>
          <w:szCs w:val="22"/>
        </w:rPr>
      </w:pPr>
    </w:p>
    <w:sectPr w:rsidR="00092A77" w:rsidRPr="000843BF">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9FAE" w14:textId="77777777" w:rsidR="008E5DB5" w:rsidRDefault="008E5DB5" w:rsidP="000843BF">
      <w:pPr>
        <w:spacing w:after="0"/>
      </w:pPr>
      <w:r>
        <w:separator/>
      </w:r>
    </w:p>
  </w:endnote>
  <w:endnote w:type="continuationSeparator" w:id="0">
    <w:p w14:paraId="2CB1E514" w14:textId="77777777" w:rsidR="008E5DB5" w:rsidRDefault="008E5DB5" w:rsidP="000843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47EC" w14:textId="77777777" w:rsidR="008E5DB5" w:rsidRDefault="008E5DB5" w:rsidP="000843BF">
      <w:pPr>
        <w:spacing w:after="0"/>
      </w:pPr>
      <w:r>
        <w:separator/>
      </w:r>
    </w:p>
  </w:footnote>
  <w:footnote w:type="continuationSeparator" w:id="0">
    <w:p w14:paraId="0BD72961" w14:textId="77777777" w:rsidR="008E5DB5" w:rsidRDefault="008E5DB5" w:rsidP="000843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396A" w14:textId="4761B60D" w:rsidR="000843BF" w:rsidRPr="000843BF" w:rsidRDefault="000843BF" w:rsidP="000843BF">
    <w:pPr>
      <w:pStyle w:val="Header"/>
    </w:pPr>
    <w:r>
      <w:rPr>
        <w:noProof/>
      </w:rPr>
      <w:drawing>
        <wp:inline distT="0" distB="0" distL="0" distR="0" wp14:anchorId="0A91E10D" wp14:editId="4709E679">
          <wp:extent cx="2115691" cy="868722"/>
          <wp:effectExtent l="0" t="0" r="0" b="0"/>
          <wp:docPr id="1717363445"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63445"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52A110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D16818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1D9A24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E03B51"/>
    <w:multiLevelType w:val="multilevel"/>
    <w:tmpl w:val="C76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86AD7"/>
    <w:multiLevelType w:val="multilevel"/>
    <w:tmpl w:val="289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07B7B"/>
    <w:multiLevelType w:val="multilevel"/>
    <w:tmpl w:val="EDD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64827"/>
    <w:multiLevelType w:val="multilevel"/>
    <w:tmpl w:val="A97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C63FF"/>
    <w:multiLevelType w:val="multilevel"/>
    <w:tmpl w:val="087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65355"/>
    <w:multiLevelType w:val="multilevel"/>
    <w:tmpl w:val="75E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21627">
    <w:abstractNumId w:val="0"/>
  </w:num>
  <w:num w:numId="2" w16cid:durableId="112485796">
    <w:abstractNumId w:val="1"/>
  </w:num>
  <w:num w:numId="3" w16cid:durableId="911701783">
    <w:abstractNumId w:val="1"/>
  </w:num>
  <w:num w:numId="4" w16cid:durableId="468322137">
    <w:abstractNumId w:val="1"/>
  </w:num>
  <w:num w:numId="5" w16cid:durableId="1158572598">
    <w:abstractNumId w:val="1"/>
  </w:num>
  <w:num w:numId="6" w16cid:durableId="723143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522310">
    <w:abstractNumId w:val="8"/>
  </w:num>
  <w:num w:numId="8" w16cid:durableId="1355419383">
    <w:abstractNumId w:val="5"/>
  </w:num>
  <w:num w:numId="9" w16cid:durableId="1498419619">
    <w:abstractNumId w:val="7"/>
  </w:num>
  <w:num w:numId="10" w16cid:durableId="511335730">
    <w:abstractNumId w:val="6"/>
  </w:num>
  <w:num w:numId="11" w16cid:durableId="1184443158">
    <w:abstractNumId w:val="4"/>
  </w:num>
  <w:num w:numId="12" w16cid:durableId="56242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77"/>
    <w:rsid w:val="00021DA0"/>
    <w:rsid w:val="000843BF"/>
    <w:rsid w:val="00092A77"/>
    <w:rsid w:val="0013097D"/>
    <w:rsid w:val="00226E94"/>
    <w:rsid w:val="003171E8"/>
    <w:rsid w:val="00370553"/>
    <w:rsid w:val="003A52F5"/>
    <w:rsid w:val="004D3E69"/>
    <w:rsid w:val="008E5DB5"/>
    <w:rsid w:val="00A773F4"/>
    <w:rsid w:val="00AD72F9"/>
    <w:rsid w:val="00B52402"/>
    <w:rsid w:val="00BC293F"/>
    <w:rsid w:val="00ED20B3"/>
    <w:rsid w:val="00F0762E"/>
    <w:rsid w:val="00F408FD"/>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47CB"/>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843BF"/>
    <w:pPr>
      <w:tabs>
        <w:tab w:val="center" w:pos="4513"/>
        <w:tab w:val="right" w:pos="9026"/>
      </w:tabs>
      <w:spacing w:after="0"/>
    </w:pPr>
  </w:style>
  <w:style w:type="character" w:customStyle="1" w:styleId="HeaderChar">
    <w:name w:val="Header Char"/>
    <w:basedOn w:val="DefaultParagraphFont"/>
    <w:link w:val="Header"/>
    <w:rsid w:val="000843BF"/>
  </w:style>
  <w:style w:type="paragraph" w:styleId="Footer">
    <w:name w:val="footer"/>
    <w:basedOn w:val="Normal"/>
    <w:link w:val="FooterChar"/>
    <w:rsid w:val="000843BF"/>
    <w:pPr>
      <w:tabs>
        <w:tab w:val="center" w:pos="4513"/>
        <w:tab w:val="right" w:pos="9026"/>
      </w:tabs>
      <w:spacing w:after="0"/>
    </w:pPr>
  </w:style>
  <w:style w:type="character" w:customStyle="1" w:styleId="FooterChar">
    <w:name w:val="Footer Char"/>
    <w:basedOn w:val="DefaultParagraphFont"/>
    <w:link w:val="Footer"/>
    <w:rsid w:val="000843BF"/>
  </w:style>
  <w:style w:type="character" w:styleId="UnresolvedMention">
    <w:name w:val="Unresolved Mention"/>
    <w:basedOn w:val="DefaultParagraphFont"/>
    <w:uiPriority w:val="99"/>
    <w:semiHidden/>
    <w:unhideWhenUsed/>
    <w:rsid w:val="00084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t@floorskil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644</Words>
  <Characters>4316</Characters>
  <Application>Microsoft Office Word</Application>
  <DocSecurity>0</DocSecurity>
  <Lines>110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8</cp:revision>
  <dcterms:created xsi:type="dcterms:W3CDTF">2025-09-15T13:33:00Z</dcterms:created>
  <dcterms:modified xsi:type="dcterms:W3CDTF">2026-04-28T14:31:00Z</dcterms:modified>
</cp:coreProperties>
</file>