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8D4E9" w14:textId="77777777" w:rsidR="0037717A" w:rsidRPr="005854A8" w:rsidRDefault="00000000">
      <w:pPr>
        <w:pStyle w:val="Heading1"/>
        <w:rPr>
          <w:color w:val="60A500"/>
        </w:rPr>
      </w:pPr>
      <w:r w:rsidRPr="005854A8">
        <w:rPr>
          <w:color w:val="60A500"/>
        </w:rPr>
        <w:t>Document Retention Policy</w:t>
      </w:r>
    </w:p>
    <w:p w14:paraId="49ECD106" w14:textId="5A6E1DDF" w:rsidR="0037717A" w:rsidRDefault="00000000">
      <w:r>
        <w:t>Policy Owner: Quality &amp; Curriculum Lead</w:t>
      </w:r>
      <w:r>
        <w:br/>
        <w:t>Version: 2025/</w:t>
      </w:r>
      <w:r w:rsidR="000225E3">
        <w:t>27</w:t>
      </w:r>
      <w:r>
        <w:br/>
        <w:t xml:space="preserve">Approval Date: </w:t>
      </w:r>
      <w:r w:rsidR="000225E3">
        <w:t>April 2026</w:t>
      </w:r>
      <w:r>
        <w:br/>
        <w:t xml:space="preserve">Next Review Date: </w:t>
      </w:r>
      <w:r w:rsidR="000225E3">
        <w:t>April 2027</w:t>
      </w:r>
    </w:p>
    <w:p w14:paraId="1D1BC00E" w14:textId="77777777" w:rsidR="0037717A" w:rsidRPr="005854A8" w:rsidRDefault="00000000">
      <w:pPr>
        <w:pStyle w:val="Heading2"/>
        <w:rPr>
          <w:color w:val="60A500"/>
        </w:rPr>
      </w:pPr>
      <w:r w:rsidRPr="005854A8">
        <w:rPr>
          <w:color w:val="60A500"/>
        </w:rPr>
        <w:t>1. Purpose</w:t>
      </w:r>
    </w:p>
    <w:p w14:paraId="4CA389A4" w14:textId="3DAB82C2" w:rsidR="0037717A" w:rsidRDefault="00000000">
      <w:r>
        <w:t>This policy ensures that FloorSkills retains and securely disposes of documents and records in compliance with UK GDPR, the Data Protection Act 2018, the Data (Use and Access) Act 2025, and DfE Apprenticeship Funding Rules 2025/26. It provides a clear framework for how long documents are kept and how they are securely destroyed.</w:t>
      </w:r>
    </w:p>
    <w:p w14:paraId="38E42707" w14:textId="77777777" w:rsidR="0037717A" w:rsidRPr="005854A8" w:rsidRDefault="00000000">
      <w:pPr>
        <w:pStyle w:val="Heading2"/>
        <w:rPr>
          <w:color w:val="60A500"/>
        </w:rPr>
      </w:pPr>
      <w:r w:rsidRPr="005854A8">
        <w:rPr>
          <w:color w:val="60A500"/>
        </w:rPr>
        <w:t>2. Retention Schedule</w:t>
      </w:r>
    </w:p>
    <w:p w14:paraId="23BA1834" w14:textId="77777777" w:rsidR="0037717A" w:rsidRDefault="00000000">
      <w:r>
        <w:t>The following retention periods apply:</w:t>
      </w:r>
      <w:r>
        <w:br/>
        <w:t>• ILR data, OTJT evidence, and learner portfolios – minimum 6 years after end of learning</w:t>
      </w:r>
      <w:r>
        <w:br/>
        <w:t>• Safeguarding records – minimum 7 years after closure (or until learner reaches age 25)</w:t>
      </w:r>
      <w:r>
        <w:br/>
        <w:t>• Complaints and appeals records – minimum 6 years after resolution</w:t>
      </w:r>
      <w:r>
        <w:br/>
        <w:t>• HR and payroll records – minimum 6 years after employment ends</w:t>
      </w:r>
      <w:r>
        <w:br/>
        <w:t>• Financial records (invoices, payments) – minimum 6 years after tax year end</w:t>
      </w:r>
      <w:r>
        <w:br/>
        <w:t>• Health &amp; Safety records – minimum 3 years (accident reports retained longer if required by law)</w:t>
      </w:r>
    </w:p>
    <w:p w14:paraId="353F4281" w14:textId="77777777" w:rsidR="0037717A" w:rsidRPr="005854A8" w:rsidRDefault="00000000">
      <w:pPr>
        <w:pStyle w:val="Heading2"/>
        <w:rPr>
          <w:color w:val="60A500"/>
        </w:rPr>
      </w:pPr>
      <w:r w:rsidRPr="005854A8">
        <w:rPr>
          <w:color w:val="60A500"/>
        </w:rPr>
        <w:t>3. Secure Disposal</w:t>
      </w:r>
    </w:p>
    <w:p w14:paraId="56E730DE" w14:textId="77777777" w:rsidR="0037717A" w:rsidRDefault="00000000">
      <w:r>
        <w:t>At the end of the retention period, records are securely destroyed by:</w:t>
      </w:r>
      <w:r>
        <w:br/>
        <w:t>• Shredding paper documents using cross-cut shredders or approved destruction services</w:t>
      </w:r>
      <w:r>
        <w:br/>
        <w:t>• Secure deletion of electronic files and backups</w:t>
      </w:r>
      <w:r>
        <w:br/>
        <w:t>• Ensuring no unauthorised person can access records marked for disposal</w:t>
      </w:r>
    </w:p>
    <w:p w14:paraId="7E4AA4F6" w14:textId="77777777" w:rsidR="0037717A" w:rsidRPr="005854A8" w:rsidRDefault="00000000">
      <w:pPr>
        <w:pStyle w:val="Heading2"/>
        <w:rPr>
          <w:color w:val="60A500"/>
        </w:rPr>
      </w:pPr>
      <w:r w:rsidRPr="005854A8">
        <w:rPr>
          <w:color w:val="60A500"/>
        </w:rPr>
        <w:t>4. Monitoring and Compliance</w:t>
      </w:r>
    </w:p>
    <w:p w14:paraId="10A77C4A" w14:textId="77777777" w:rsidR="0037717A" w:rsidRDefault="00000000">
      <w:r>
        <w:t>Document retention compliance is reviewed annually as part of internal audit and funding compliance checks. Non-compliance is reported to management and corrective actions are taken to maintain audit readiness.</w:t>
      </w:r>
    </w:p>
    <w:sectPr w:rsidR="0037717A"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7E8A5" w14:textId="77777777" w:rsidR="008155F0" w:rsidRDefault="008155F0" w:rsidP="005854A8">
      <w:pPr>
        <w:spacing w:after="0" w:line="240" w:lineRule="auto"/>
      </w:pPr>
      <w:r>
        <w:separator/>
      </w:r>
    </w:p>
  </w:endnote>
  <w:endnote w:type="continuationSeparator" w:id="0">
    <w:p w14:paraId="0DB448AA" w14:textId="77777777" w:rsidR="008155F0" w:rsidRDefault="008155F0" w:rsidP="00585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CCFA8" w14:textId="77777777" w:rsidR="008155F0" w:rsidRDefault="008155F0" w:rsidP="005854A8">
      <w:pPr>
        <w:spacing w:after="0" w:line="240" w:lineRule="auto"/>
      </w:pPr>
      <w:r>
        <w:separator/>
      </w:r>
    </w:p>
  </w:footnote>
  <w:footnote w:type="continuationSeparator" w:id="0">
    <w:p w14:paraId="388463A9" w14:textId="77777777" w:rsidR="008155F0" w:rsidRDefault="008155F0" w:rsidP="005854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2B26E" w14:textId="1DCFD2D3" w:rsidR="005854A8" w:rsidRPr="005854A8" w:rsidRDefault="005854A8" w:rsidP="005854A8">
    <w:pPr>
      <w:pStyle w:val="Header"/>
    </w:pPr>
    <w:r>
      <w:rPr>
        <w:noProof/>
      </w:rPr>
      <w:drawing>
        <wp:inline distT="0" distB="0" distL="0" distR="0" wp14:anchorId="48D7B1A2" wp14:editId="15C66A8C">
          <wp:extent cx="2115691" cy="868722"/>
          <wp:effectExtent l="0" t="0" r="0" b="7620"/>
          <wp:docPr id="666439497" name="Picture 1" descr="A green logo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439497" name="Picture 1" descr="A green logo with white text&#10;&#10;AI-generated content may be incorrect."/>
                  <pic:cNvPicPr/>
                </pic:nvPicPr>
                <pic:blipFill>
                  <a:blip r:embed="rId1"/>
                  <a:stretch>
                    <a:fillRect/>
                  </a:stretch>
                </pic:blipFill>
                <pic:spPr>
                  <a:xfrm>
                    <a:off x="0" y="0"/>
                    <a:ext cx="2115691" cy="86872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23379698">
    <w:abstractNumId w:val="8"/>
  </w:num>
  <w:num w:numId="2" w16cid:durableId="436218505">
    <w:abstractNumId w:val="6"/>
  </w:num>
  <w:num w:numId="3" w16cid:durableId="733358915">
    <w:abstractNumId w:val="5"/>
  </w:num>
  <w:num w:numId="4" w16cid:durableId="1071923492">
    <w:abstractNumId w:val="4"/>
  </w:num>
  <w:num w:numId="5" w16cid:durableId="1967395208">
    <w:abstractNumId w:val="7"/>
  </w:num>
  <w:num w:numId="6" w16cid:durableId="1483810723">
    <w:abstractNumId w:val="3"/>
  </w:num>
  <w:num w:numId="7" w16cid:durableId="1072312532">
    <w:abstractNumId w:val="2"/>
  </w:num>
  <w:num w:numId="8" w16cid:durableId="1947879510">
    <w:abstractNumId w:val="1"/>
  </w:num>
  <w:num w:numId="9" w16cid:durableId="228614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1DA0"/>
    <w:rsid w:val="000225E3"/>
    <w:rsid w:val="00034616"/>
    <w:rsid w:val="0006063C"/>
    <w:rsid w:val="0015074B"/>
    <w:rsid w:val="0029639D"/>
    <w:rsid w:val="00326F90"/>
    <w:rsid w:val="00362FA4"/>
    <w:rsid w:val="0037717A"/>
    <w:rsid w:val="00555CD7"/>
    <w:rsid w:val="00560CE4"/>
    <w:rsid w:val="005854A8"/>
    <w:rsid w:val="008155F0"/>
    <w:rsid w:val="00AA1D8D"/>
    <w:rsid w:val="00B47730"/>
    <w:rsid w:val="00CB0664"/>
    <w:rsid w:val="00DF1E5D"/>
    <w:rsid w:val="00EC0F3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6AB310"/>
  <w14:defaultImageDpi w14:val="300"/>
  <w15:docId w15:val="{0D68DF1C-629E-435E-9DB1-A02344708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1333</Characters>
  <Application>Microsoft Office Word</Application>
  <DocSecurity>0</DocSecurity>
  <Lines>29</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Matt Bourne</cp:lastModifiedBy>
  <cp:revision>4</cp:revision>
  <dcterms:created xsi:type="dcterms:W3CDTF">2025-09-11T13:31:00Z</dcterms:created>
  <dcterms:modified xsi:type="dcterms:W3CDTF">2026-04-28T14:07:00Z</dcterms:modified>
  <cp:category/>
</cp:coreProperties>
</file>