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708C" w14:textId="77777777" w:rsidR="00FF09DE" w:rsidRPr="002450D8" w:rsidRDefault="00000000">
      <w:pPr>
        <w:pStyle w:val="Heading1"/>
        <w:rPr>
          <w:color w:val="60A500"/>
        </w:rPr>
      </w:pPr>
      <w:r w:rsidRPr="002450D8">
        <w:rPr>
          <w:color w:val="60A500"/>
        </w:rPr>
        <w:t>Conflict of Interest Policy</w:t>
      </w:r>
    </w:p>
    <w:p w14:paraId="3C8E5F16" w14:textId="3C28AA8F" w:rsidR="00FF09DE" w:rsidRDefault="00000000">
      <w:r>
        <w:t>Policy Owner: Quality &amp; Curriculum Lead</w:t>
      </w:r>
      <w:r>
        <w:br/>
        <w:t>Version: 2025/2</w:t>
      </w:r>
      <w:r w:rsidR="00435B4F">
        <w:t>7</w:t>
      </w:r>
      <w:r>
        <w:br/>
        <w:t xml:space="preserve">Approval Date: </w:t>
      </w:r>
      <w:r w:rsidR="00435B4F">
        <w:t>April 2026</w:t>
      </w:r>
      <w:r>
        <w:br/>
        <w:t xml:space="preserve">Next Review Date: </w:t>
      </w:r>
      <w:r w:rsidR="00435B4F">
        <w:t>April 2027</w:t>
      </w:r>
    </w:p>
    <w:p w14:paraId="3CE2999F" w14:textId="77777777" w:rsidR="00FF09DE" w:rsidRPr="002450D8" w:rsidRDefault="00000000">
      <w:pPr>
        <w:pStyle w:val="Heading2"/>
        <w:rPr>
          <w:color w:val="60A500"/>
        </w:rPr>
      </w:pPr>
      <w:r w:rsidRPr="002450D8">
        <w:rPr>
          <w:color w:val="60A500"/>
        </w:rPr>
        <w:t>1. Purpose</w:t>
      </w:r>
    </w:p>
    <w:p w14:paraId="5C2C4AC4" w14:textId="77777777" w:rsidR="00FF09DE" w:rsidRDefault="00000000">
      <w:r>
        <w:t>This policy ensures that all actual or perceived conflicts of interest are identified, declared, and managed appropriately. FloorSkills is committed to ensuring that assessment decisions, quality assurance processes, and business operations remain fair, transparent, and free from undue influence.</w:t>
      </w:r>
    </w:p>
    <w:p w14:paraId="2A3D3186" w14:textId="77777777" w:rsidR="00FF09DE" w:rsidRPr="002450D8" w:rsidRDefault="00000000">
      <w:pPr>
        <w:pStyle w:val="Heading2"/>
        <w:rPr>
          <w:color w:val="60A500"/>
        </w:rPr>
      </w:pPr>
      <w:r w:rsidRPr="002450D8">
        <w:rPr>
          <w:color w:val="60A500"/>
        </w:rPr>
        <w:t>2. Legal and Regulatory Framework</w:t>
      </w:r>
    </w:p>
    <w:p w14:paraId="08A19FE0" w14:textId="196EFC31" w:rsidR="00FF09DE" w:rsidRDefault="00000000">
      <w:r>
        <w:t>This policy operates in compliance with:</w:t>
      </w:r>
      <w:r>
        <w:br/>
        <w:t>• Ofqual General Conditions of Recognition (2025)</w:t>
      </w:r>
      <w:r>
        <w:br/>
        <w:t>• DfE Apprenticeship Funding Rules 2025/26</w:t>
      </w:r>
      <w:r>
        <w:br/>
        <w:t>• UK GDPR / Data Protection Act 2018</w:t>
      </w:r>
    </w:p>
    <w:p w14:paraId="3B7EFEB6" w14:textId="77777777" w:rsidR="00FF09DE" w:rsidRPr="002450D8" w:rsidRDefault="00000000">
      <w:pPr>
        <w:pStyle w:val="Heading2"/>
        <w:rPr>
          <w:color w:val="60A500"/>
        </w:rPr>
      </w:pPr>
      <w:r w:rsidRPr="002450D8">
        <w:rPr>
          <w:color w:val="60A500"/>
        </w:rPr>
        <w:t>3. Definition of a Conflict of Interest</w:t>
      </w:r>
    </w:p>
    <w:p w14:paraId="11FE57A6" w14:textId="77777777" w:rsidR="00FF09DE" w:rsidRDefault="00000000">
      <w:r>
        <w:t>A conflict of interest occurs where an individual’s personal interests or loyalties could influence, or be seen to influence, their professional judgement or actions. Examples include:</w:t>
      </w:r>
      <w:r>
        <w:br/>
        <w:t>• Assessing or quality assuring a family member</w:t>
      </w:r>
      <w:r>
        <w:br/>
        <w:t>• Line management of a relative or partner</w:t>
      </w:r>
      <w:r>
        <w:br/>
        <w:t>• Financial interest in decisions made by the organisation</w:t>
      </w:r>
    </w:p>
    <w:p w14:paraId="65753260" w14:textId="77777777" w:rsidR="00FF09DE" w:rsidRPr="002450D8" w:rsidRDefault="00000000">
      <w:pPr>
        <w:pStyle w:val="Heading2"/>
        <w:rPr>
          <w:color w:val="60A500"/>
        </w:rPr>
      </w:pPr>
      <w:r w:rsidRPr="002450D8">
        <w:rPr>
          <w:color w:val="60A500"/>
        </w:rPr>
        <w:t>4. Declaration Process</w:t>
      </w:r>
    </w:p>
    <w:p w14:paraId="5C1A7A1E" w14:textId="77777777" w:rsidR="00FF09DE" w:rsidRDefault="00000000">
      <w:r>
        <w:t>• All staff must complete an annual conflict of interest declaration.</w:t>
      </w:r>
      <w:r>
        <w:br/>
        <w:t>• Staff must update their declaration immediately if circumstances change.</w:t>
      </w:r>
      <w:r>
        <w:br/>
        <w:t>• Declarations are stored securely in compliance with UK GDPR.</w:t>
      </w:r>
    </w:p>
    <w:p w14:paraId="7ECBCAA7" w14:textId="77777777" w:rsidR="00FF09DE" w:rsidRPr="002450D8" w:rsidRDefault="00000000">
      <w:pPr>
        <w:pStyle w:val="Heading2"/>
        <w:rPr>
          <w:color w:val="60A500"/>
        </w:rPr>
      </w:pPr>
      <w:r w:rsidRPr="002450D8">
        <w:rPr>
          <w:color w:val="60A500"/>
        </w:rPr>
        <w:t>5. Managing Conflicts</w:t>
      </w:r>
    </w:p>
    <w:p w14:paraId="6B2A6F3D" w14:textId="77777777" w:rsidR="00FF09DE" w:rsidRDefault="00000000">
      <w:r>
        <w:t>Where a conflict is identified, appropriate mitigations are applied, which may include:</w:t>
      </w:r>
      <w:r>
        <w:br/>
        <w:t>• Reallocation of assessment or IQA duties</w:t>
      </w:r>
      <w:r>
        <w:br/>
        <w:t>• Adjusting reporting lines or management responsibilities</w:t>
      </w:r>
      <w:r>
        <w:br/>
        <w:t>• Escalating significant conflicts to senior management for resolution</w:t>
      </w:r>
    </w:p>
    <w:p w14:paraId="55FA59B1" w14:textId="77777777" w:rsidR="00FF09DE" w:rsidRPr="002450D8" w:rsidRDefault="00000000">
      <w:pPr>
        <w:pStyle w:val="Heading2"/>
        <w:rPr>
          <w:color w:val="60A500"/>
        </w:rPr>
      </w:pPr>
      <w:r w:rsidRPr="002450D8">
        <w:rPr>
          <w:color w:val="60A500"/>
        </w:rPr>
        <w:lastRenderedPageBreak/>
        <w:t>6. Monitoring and Review</w:t>
      </w:r>
    </w:p>
    <w:p w14:paraId="004FAFC0" w14:textId="77777777" w:rsidR="00FF09DE" w:rsidRDefault="00000000">
      <w:r>
        <w:t>Conflicts of interest are reviewed annually as part of internal quality assurance and governance meetings. This ensures that any emerging risks are identified promptly and that mitigation measures remain effective.</w:t>
      </w:r>
    </w:p>
    <w:sectPr w:rsidR="00FF09DE"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D285" w14:textId="77777777" w:rsidR="000F2E2C" w:rsidRDefault="000F2E2C" w:rsidP="002450D8">
      <w:pPr>
        <w:spacing w:after="0" w:line="240" w:lineRule="auto"/>
      </w:pPr>
      <w:r>
        <w:separator/>
      </w:r>
    </w:p>
  </w:endnote>
  <w:endnote w:type="continuationSeparator" w:id="0">
    <w:p w14:paraId="64378BEB" w14:textId="77777777" w:rsidR="000F2E2C" w:rsidRDefault="000F2E2C" w:rsidP="0024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FCCF" w14:textId="77777777" w:rsidR="000F2E2C" w:rsidRDefault="000F2E2C" w:rsidP="002450D8">
      <w:pPr>
        <w:spacing w:after="0" w:line="240" w:lineRule="auto"/>
      </w:pPr>
      <w:r>
        <w:separator/>
      </w:r>
    </w:p>
  </w:footnote>
  <w:footnote w:type="continuationSeparator" w:id="0">
    <w:p w14:paraId="3E99F94D" w14:textId="77777777" w:rsidR="000F2E2C" w:rsidRDefault="000F2E2C" w:rsidP="0024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496C" w14:textId="1C2D403F" w:rsidR="002450D8" w:rsidRDefault="002450D8">
    <w:pPr>
      <w:pStyle w:val="Header"/>
    </w:pPr>
    <w:r>
      <w:rPr>
        <w:noProof/>
      </w:rPr>
      <w:drawing>
        <wp:inline distT="0" distB="0" distL="0" distR="0" wp14:anchorId="0F067F57" wp14:editId="074FE6E7">
          <wp:extent cx="2115691" cy="868722"/>
          <wp:effectExtent l="0" t="0" r="0" b="7620"/>
          <wp:docPr id="666439497" name="Picture 1" descr="A green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439497" name="Picture 1" descr="A green logo with white text&#10;&#10;AI-generated content may be incorrect."/>
                  <pic:cNvPicPr/>
                </pic:nvPicPr>
                <pic:blipFill>
                  <a:blip r:embed="rId1"/>
                  <a:stretch>
                    <a:fillRect/>
                  </a:stretch>
                </pic:blipFill>
                <pic:spPr>
                  <a:xfrm>
                    <a:off x="0" y="0"/>
                    <a:ext cx="2115691" cy="86872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662824">
    <w:abstractNumId w:val="8"/>
  </w:num>
  <w:num w:numId="2" w16cid:durableId="11735107">
    <w:abstractNumId w:val="6"/>
  </w:num>
  <w:num w:numId="3" w16cid:durableId="1811054397">
    <w:abstractNumId w:val="5"/>
  </w:num>
  <w:num w:numId="4" w16cid:durableId="6760145">
    <w:abstractNumId w:val="4"/>
  </w:num>
  <w:num w:numId="5" w16cid:durableId="174420694">
    <w:abstractNumId w:val="7"/>
  </w:num>
  <w:num w:numId="6" w16cid:durableId="1534222814">
    <w:abstractNumId w:val="3"/>
  </w:num>
  <w:num w:numId="7" w16cid:durableId="1499734850">
    <w:abstractNumId w:val="2"/>
  </w:num>
  <w:num w:numId="8" w16cid:durableId="99180186">
    <w:abstractNumId w:val="1"/>
  </w:num>
  <w:num w:numId="9" w16cid:durableId="159076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DA0"/>
    <w:rsid w:val="00034616"/>
    <w:rsid w:val="0006063C"/>
    <w:rsid w:val="000F2E2C"/>
    <w:rsid w:val="0015074B"/>
    <w:rsid w:val="002450D8"/>
    <w:rsid w:val="0029639D"/>
    <w:rsid w:val="00326F90"/>
    <w:rsid w:val="00435B4F"/>
    <w:rsid w:val="004F2D2E"/>
    <w:rsid w:val="00560CE4"/>
    <w:rsid w:val="005A66CD"/>
    <w:rsid w:val="00AA1D8D"/>
    <w:rsid w:val="00B47730"/>
    <w:rsid w:val="00CB0664"/>
    <w:rsid w:val="00F777A1"/>
    <w:rsid w:val="00F8409E"/>
    <w:rsid w:val="00FC693F"/>
    <w:rsid w:val="00FF0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3A5AE"/>
  <w14:defaultImageDpi w14:val="300"/>
  <w15:docId w15:val="{0D68DF1C-629E-435E-9DB1-A0234470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1519</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Bourne</cp:lastModifiedBy>
  <cp:revision>4</cp:revision>
  <dcterms:created xsi:type="dcterms:W3CDTF">2025-09-11T13:20:00Z</dcterms:created>
  <dcterms:modified xsi:type="dcterms:W3CDTF">2026-04-28T14:07:00Z</dcterms:modified>
  <cp:category/>
</cp:coreProperties>
</file>