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AD39" w14:textId="77777777" w:rsidR="00752FBE" w:rsidRPr="00B66C21" w:rsidRDefault="00000000">
      <w:pPr>
        <w:pStyle w:val="Heading1"/>
        <w:rPr>
          <w:color w:val="60A500"/>
        </w:rPr>
      </w:pPr>
      <w:r w:rsidRPr="00B66C21">
        <w:rPr>
          <w:color w:val="60A500"/>
        </w:rPr>
        <w:t>Anti-Fraud Policy</w:t>
      </w:r>
    </w:p>
    <w:p w14:paraId="60CD3D9F" w14:textId="1DDB0A85" w:rsidR="00752FBE" w:rsidRDefault="00000000">
      <w:r>
        <w:t xml:space="preserve">Reviewed: </w:t>
      </w:r>
      <w:r w:rsidR="00F46342">
        <w:t>April 2026</w:t>
      </w:r>
      <w:r>
        <w:br/>
        <w:t xml:space="preserve">Next Review: </w:t>
      </w:r>
      <w:r w:rsidR="00F46342">
        <w:t>April 2027</w:t>
      </w:r>
      <w:r>
        <w:br/>
        <w:t>Policy Owner: Quality &amp; Curriculum Lead</w:t>
      </w:r>
    </w:p>
    <w:p w14:paraId="3CC1D567" w14:textId="77777777" w:rsidR="00752FBE" w:rsidRPr="00B66C21" w:rsidRDefault="00000000">
      <w:pPr>
        <w:pStyle w:val="Heading2"/>
        <w:rPr>
          <w:color w:val="60A500"/>
        </w:rPr>
      </w:pPr>
      <w:r w:rsidRPr="00B66C21">
        <w:rPr>
          <w:color w:val="60A500"/>
        </w:rPr>
        <w:t>Policy Statement</w:t>
      </w:r>
    </w:p>
    <w:p w14:paraId="7324A5AF" w14:textId="77777777" w:rsidR="00752FBE" w:rsidRDefault="00000000">
      <w:r>
        <w:t>FloorSkills is committed to maintaining the highest standards of honesty, integrity, and accountability in all its activities. Fraud, corruption, or dishonesty of any kind will not be tolerated. This policy applies to all learners, apprentices, staff, contractors, suppliers, and any third parties with a business relationship with FloorSkills.</w:t>
      </w:r>
    </w:p>
    <w:p w14:paraId="5FF51F89" w14:textId="77777777" w:rsidR="00752FBE" w:rsidRPr="00B66C21" w:rsidRDefault="00000000">
      <w:pPr>
        <w:pStyle w:val="Heading2"/>
        <w:rPr>
          <w:color w:val="60A500"/>
        </w:rPr>
      </w:pPr>
      <w:r w:rsidRPr="00B66C21">
        <w:rPr>
          <w:color w:val="60A500"/>
        </w:rPr>
        <w:t>Legislative and Regulatory Framework</w:t>
      </w:r>
    </w:p>
    <w:p w14:paraId="59C7B970" w14:textId="77777777" w:rsidR="00752FBE" w:rsidRDefault="00000000">
      <w:r>
        <w:t>This policy is underpinned by the following legislation and guidance:</w:t>
      </w:r>
      <w:r>
        <w:br/>
        <w:t>- Fraud Act 2006</w:t>
      </w:r>
      <w:r>
        <w:br/>
        <w:t>- Economic Crime and Corporate Transparency Act 2023 (Failure to Prevent Fraud – effective 1 Sept 2025)</w:t>
      </w:r>
      <w:r>
        <w:br/>
        <w:t>- Procurement Act 2023 (effective 24 Feb 2025 – mandatory exclusion and debarment regime)</w:t>
      </w:r>
      <w:r>
        <w:br/>
        <w:t>- Apprenticeship Funding Rules 2025/26 (Department for Education)</w:t>
      </w:r>
      <w:r>
        <w:br/>
        <w:t>- UK GDPR / Data Protection Act 2018</w:t>
      </w:r>
      <w:r>
        <w:br/>
      </w:r>
    </w:p>
    <w:p w14:paraId="5E21E264" w14:textId="77777777" w:rsidR="00752FBE" w:rsidRPr="00B66C21" w:rsidRDefault="00000000">
      <w:pPr>
        <w:pStyle w:val="Heading2"/>
        <w:rPr>
          <w:color w:val="60A500"/>
        </w:rPr>
      </w:pPr>
      <w:r w:rsidRPr="00B66C21">
        <w:rPr>
          <w:color w:val="60A500"/>
        </w:rPr>
        <w:t>Definition of Fraud</w:t>
      </w:r>
    </w:p>
    <w:p w14:paraId="54F6F4F6" w14:textId="77777777" w:rsidR="00752FBE" w:rsidRDefault="00000000">
      <w:r>
        <w:t>Fraud is the intentional distortion, concealment, or falsification of financial or other records to secure an unjust or illegal gain. Examples include misappropriation of funds, falsifying OTJT evidence, altering records, deception, profiteering, and misuse of assets.</w:t>
      </w:r>
    </w:p>
    <w:p w14:paraId="21206B05" w14:textId="77777777" w:rsidR="00752FBE" w:rsidRPr="00B66C21" w:rsidRDefault="00000000">
      <w:pPr>
        <w:pStyle w:val="Heading2"/>
        <w:rPr>
          <w:color w:val="60A500"/>
        </w:rPr>
      </w:pPr>
      <w:r w:rsidRPr="00B66C21">
        <w:rPr>
          <w:color w:val="60A500"/>
        </w:rPr>
        <w:t>Scope</w:t>
      </w:r>
    </w:p>
    <w:p w14:paraId="73B656A3" w14:textId="77777777" w:rsidR="00752FBE" w:rsidRDefault="00000000">
      <w:r>
        <w:t>This policy covers fraud relating to:</w:t>
      </w:r>
      <w:r>
        <w:br/>
        <w:t>- Public funds, including apprenticeship funding claims and OTJT recording</w:t>
      </w:r>
      <w:r>
        <w:br/>
        <w:t>- Financial transactions, invoices, and expenses</w:t>
      </w:r>
      <w:r>
        <w:br/>
        <w:t>- Misuse of assets, equipment, or data</w:t>
      </w:r>
      <w:r>
        <w:br/>
        <w:t>- False representation or unauthorised disclosure of information</w:t>
      </w:r>
    </w:p>
    <w:p w14:paraId="3526916B" w14:textId="77777777" w:rsidR="00752FBE" w:rsidRPr="00B66C21" w:rsidRDefault="00000000">
      <w:pPr>
        <w:pStyle w:val="Heading2"/>
        <w:rPr>
          <w:color w:val="60A500"/>
        </w:rPr>
      </w:pPr>
      <w:r w:rsidRPr="00B66C21">
        <w:rPr>
          <w:color w:val="60A500"/>
        </w:rPr>
        <w:t>Reporting Suspected Fraud</w:t>
      </w:r>
    </w:p>
    <w:p w14:paraId="23A5866C" w14:textId="77777777" w:rsidR="00752FBE" w:rsidRDefault="00000000">
      <w:r>
        <w:t>All staff, learners, and stakeholders must report suspected fraud immediately to the Company Secretary, Managing Director, or Quality &amp; Curriculum Lead. Anonymous reports can be made under the Whistleblowing Policy. Whistleblowers are protected from retaliation.</w:t>
      </w:r>
    </w:p>
    <w:p w14:paraId="20229AD4" w14:textId="77777777" w:rsidR="00752FBE" w:rsidRPr="00B66C21" w:rsidRDefault="00000000">
      <w:pPr>
        <w:pStyle w:val="Heading2"/>
        <w:rPr>
          <w:color w:val="60A500"/>
        </w:rPr>
      </w:pPr>
      <w:r w:rsidRPr="00B66C21">
        <w:rPr>
          <w:color w:val="60A500"/>
        </w:rPr>
        <w:lastRenderedPageBreak/>
        <w:t>Investigation Process</w:t>
      </w:r>
    </w:p>
    <w:p w14:paraId="6A9A7654" w14:textId="77777777" w:rsidR="00752FBE" w:rsidRDefault="00000000">
      <w:r>
        <w:t>All allegations of fraud will be investigated promptly and confidentially. Investigations will normally be completed within 10 working days where possible. Findings will be reported to senior management and, where appropriate, referred to law enforcement or regulators.</w:t>
      </w:r>
    </w:p>
    <w:p w14:paraId="42BA6103" w14:textId="77777777" w:rsidR="00752FBE" w:rsidRPr="00B66C21" w:rsidRDefault="00000000">
      <w:pPr>
        <w:pStyle w:val="Heading2"/>
        <w:rPr>
          <w:color w:val="60A500"/>
        </w:rPr>
      </w:pPr>
      <w:r w:rsidRPr="00B66C21">
        <w:rPr>
          <w:color w:val="60A500"/>
        </w:rPr>
        <w:t>Record Keeping</w:t>
      </w:r>
    </w:p>
    <w:p w14:paraId="03288A88" w14:textId="77777777" w:rsidR="00752FBE" w:rsidRDefault="00000000">
      <w:r>
        <w:t>Records of investigations will be retained securely for a minimum of six years in line with UK GDPR and funding audit requirements.</w:t>
      </w:r>
    </w:p>
    <w:p w14:paraId="45574019" w14:textId="77777777" w:rsidR="00752FBE" w:rsidRPr="00B66C21" w:rsidRDefault="00000000">
      <w:pPr>
        <w:pStyle w:val="Heading2"/>
        <w:rPr>
          <w:color w:val="60A500"/>
        </w:rPr>
      </w:pPr>
      <w:r w:rsidRPr="00B66C21">
        <w:rPr>
          <w:color w:val="60A500"/>
        </w:rPr>
        <w:t>Fraud Risk Management</w:t>
      </w:r>
    </w:p>
    <w:p w14:paraId="3F42DDDE" w14:textId="77777777" w:rsidR="00752FBE" w:rsidRDefault="00000000">
      <w:r>
        <w:t>FloorSkills carries out periodic fraud risk assessments and internal audits to identify potential vulnerabilities and implement controls.</w:t>
      </w:r>
    </w:p>
    <w:p w14:paraId="034675E1" w14:textId="77777777" w:rsidR="00752FBE" w:rsidRPr="00B66C21" w:rsidRDefault="00000000">
      <w:pPr>
        <w:pStyle w:val="Heading2"/>
        <w:rPr>
          <w:color w:val="60A500"/>
        </w:rPr>
      </w:pPr>
      <w:r w:rsidRPr="00B66C21">
        <w:rPr>
          <w:color w:val="60A500"/>
        </w:rPr>
        <w:t>Training and Awareness</w:t>
      </w:r>
    </w:p>
    <w:p w14:paraId="4124DF40" w14:textId="77777777" w:rsidR="00752FBE" w:rsidRDefault="00000000">
      <w:r>
        <w:t>Staff receive induction and annual refresher training on fraud awareness, public funding compliance, and reporting routes. Learners are informed of the importance of accurate OTJT recording and honest conduct.</w:t>
      </w:r>
    </w:p>
    <w:p w14:paraId="3E958207" w14:textId="77777777" w:rsidR="00752FBE" w:rsidRPr="00B66C21" w:rsidRDefault="00000000">
      <w:pPr>
        <w:pStyle w:val="Heading2"/>
        <w:rPr>
          <w:color w:val="60A500"/>
        </w:rPr>
      </w:pPr>
      <w:r w:rsidRPr="00B66C21">
        <w:rPr>
          <w:color w:val="60A500"/>
        </w:rPr>
        <w:t>Monitoring and Review</w:t>
      </w:r>
    </w:p>
    <w:p w14:paraId="08AA26FB" w14:textId="77777777" w:rsidR="00752FBE" w:rsidRDefault="00000000">
      <w:r>
        <w:t>This policy is reviewed annually by the Quality &amp; Curriculum Lead and signed off by senior management to ensure compliance with legislation, DfE requirements, and good governance standards.</w:t>
      </w:r>
    </w:p>
    <w:sectPr w:rsidR="00752FB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7674" w14:textId="77777777" w:rsidR="006E05D2" w:rsidRDefault="006E05D2" w:rsidP="00B66C21">
      <w:pPr>
        <w:spacing w:after="0" w:line="240" w:lineRule="auto"/>
      </w:pPr>
      <w:r>
        <w:separator/>
      </w:r>
    </w:p>
  </w:endnote>
  <w:endnote w:type="continuationSeparator" w:id="0">
    <w:p w14:paraId="4439EE7A" w14:textId="77777777" w:rsidR="006E05D2" w:rsidRDefault="006E05D2" w:rsidP="00B6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E102" w14:textId="77777777" w:rsidR="006E05D2" w:rsidRDefault="006E05D2" w:rsidP="00B66C21">
      <w:pPr>
        <w:spacing w:after="0" w:line="240" w:lineRule="auto"/>
      </w:pPr>
      <w:r>
        <w:separator/>
      </w:r>
    </w:p>
  </w:footnote>
  <w:footnote w:type="continuationSeparator" w:id="0">
    <w:p w14:paraId="73D8C42D" w14:textId="77777777" w:rsidR="006E05D2" w:rsidRDefault="006E05D2" w:rsidP="00B66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4938" w14:textId="0832C091" w:rsidR="00B66C21" w:rsidRDefault="00B66C21">
    <w:pPr>
      <w:pStyle w:val="Header"/>
    </w:pPr>
    <w:r>
      <w:rPr>
        <w:noProof/>
      </w:rPr>
      <w:drawing>
        <wp:inline distT="0" distB="0" distL="0" distR="0" wp14:anchorId="1E122E3B" wp14:editId="429FFB43">
          <wp:extent cx="2115691" cy="868722"/>
          <wp:effectExtent l="0" t="0" r="0" b="7620"/>
          <wp:docPr id="1320153179"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53179"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8592405">
    <w:abstractNumId w:val="8"/>
  </w:num>
  <w:num w:numId="2" w16cid:durableId="1290549438">
    <w:abstractNumId w:val="6"/>
  </w:num>
  <w:num w:numId="3" w16cid:durableId="876433555">
    <w:abstractNumId w:val="5"/>
  </w:num>
  <w:num w:numId="4" w16cid:durableId="1988431580">
    <w:abstractNumId w:val="4"/>
  </w:num>
  <w:num w:numId="5" w16cid:durableId="1651133922">
    <w:abstractNumId w:val="7"/>
  </w:num>
  <w:num w:numId="6" w16cid:durableId="1541162358">
    <w:abstractNumId w:val="3"/>
  </w:num>
  <w:num w:numId="7" w16cid:durableId="251281105">
    <w:abstractNumId w:val="2"/>
  </w:num>
  <w:num w:numId="8" w16cid:durableId="316879465">
    <w:abstractNumId w:val="1"/>
  </w:num>
  <w:num w:numId="9" w16cid:durableId="10014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54B9"/>
    <w:rsid w:val="0029639D"/>
    <w:rsid w:val="00326F90"/>
    <w:rsid w:val="00560CE4"/>
    <w:rsid w:val="006E05D2"/>
    <w:rsid w:val="00752FBE"/>
    <w:rsid w:val="00AA1D8D"/>
    <w:rsid w:val="00B47730"/>
    <w:rsid w:val="00B66C21"/>
    <w:rsid w:val="00C47CEB"/>
    <w:rsid w:val="00CB0664"/>
    <w:rsid w:val="00F463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A4C2E"/>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2025-09-10T14:34:00Z</dcterms:created>
  <dcterms:modified xsi:type="dcterms:W3CDTF">2026-04-28T13:09:00Z</dcterms:modified>
  <cp:category/>
</cp:coreProperties>
</file>